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A7433" w14:textId="2DDDC857" w:rsidR="000E6485" w:rsidRDefault="00493336">
      <w:pPr>
        <w:pStyle w:val="CRCoverPage"/>
        <w:tabs>
          <w:tab w:val="right" w:pos="9639"/>
        </w:tabs>
        <w:spacing w:after="0"/>
        <w:rPr>
          <w:b/>
          <w:sz w:val="24"/>
        </w:rPr>
      </w:pPr>
      <w:r>
        <w:rPr>
          <w:b/>
          <w:sz w:val="24"/>
        </w:rPr>
        <w:t>3GPP TSG-RAN WG2 Meeting #123</w:t>
      </w:r>
      <w:r>
        <w:rPr>
          <w:b/>
          <w:sz w:val="24"/>
        </w:rPr>
        <w:tab/>
      </w:r>
      <w:r w:rsidR="00951843" w:rsidRPr="00951843">
        <w:rPr>
          <w:b/>
          <w:sz w:val="24"/>
        </w:rPr>
        <w:t>R2-2307495</w:t>
      </w:r>
    </w:p>
    <w:p w14:paraId="4B687E40" w14:textId="77777777" w:rsidR="000E6485" w:rsidRDefault="00493336">
      <w:pPr>
        <w:pStyle w:val="CRCoverPage"/>
        <w:tabs>
          <w:tab w:val="right" w:pos="9639"/>
        </w:tabs>
        <w:spacing w:after="0"/>
        <w:rPr>
          <w:rFonts w:eastAsia="宋体"/>
          <w:b/>
          <w:sz w:val="24"/>
        </w:rPr>
      </w:pPr>
      <w:r>
        <w:rPr>
          <w:b/>
          <w:sz w:val="24"/>
        </w:rPr>
        <w:t>Toulouse, France 21</w:t>
      </w:r>
      <w:r>
        <w:rPr>
          <w:b/>
          <w:sz w:val="24"/>
          <w:vertAlign w:val="superscript"/>
        </w:rPr>
        <w:t>st</w:t>
      </w:r>
      <w:r>
        <w:rPr>
          <w:b/>
          <w:sz w:val="24"/>
        </w:rPr>
        <w:t xml:space="preserve"> – 25</w:t>
      </w:r>
      <w:r>
        <w:rPr>
          <w:b/>
          <w:sz w:val="24"/>
          <w:vertAlign w:val="superscript"/>
        </w:rPr>
        <w:t>th</w:t>
      </w:r>
      <w:r>
        <w:rPr>
          <w:b/>
          <w:sz w:val="24"/>
        </w:rPr>
        <w:t xml:space="preserve"> August, 2023</w:t>
      </w:r>
    </w:p>
    <w:p w14:paraId="02C04029" w14:textId="77777777" w:rsidR="000E6485" w:rsidRDefault="000E6485">
      <w:pPr>
        <w:pStyle w:val="3GPPHeader"/>
        <w:rPr>
          <w:lang w:eastAsia="en-US"/>
        </w:rPr>
      </w:pPr>
    </w:p>
    <w:p w14:paraId="246A0F62" w14:textId="77777777" w:rsidR="000E6485" w:rsidRDefault="00493336">
      <w:pPr>
        <w:pStyle w:val="3GPPHeader"/>
        <w:tabs>
          <w:tab w:val="clear" w:pos="1701"/>
          <w:tab w:val="left" w:pos="1815"/>
        </w:tabs>
        <w:rPr>
          <w:lang w:eastAsia="en-US"/>
        </w:rPr>
      </w:pPr>
      <w:r>
        <w:rPr>
          <w:lang w:eastAsia="en-US"/>
        </w:rPr>
        <w:t>Agenda Item:</w:t>
      </w:r>
      <w:r>
        <w:rPr>
          <w:lang w:eastAsia="en-US"/>
        </w:rPr>
        <w:tab/>
        <w:t>7.11.3</w:t>
      </w:r>
      <w:r>
        <w:rPr>
          <w:lang w:eastAsia="en-US"/>
        </w:rPr>
        <w:tab/>
      </w:r>
    </w:p>
    <w:p w14:paraId="13DCD5B5" w14:textId="77777777" w:rsidR="000E6485" w:rsidRDefault="00493336">
      <w:pPr>
        <w:pStyle w:val="3GPPHeader"/>
        <w:tabs>
          <w:tab w:val="clear" w:pos="1701"/>
          <w:tab w:val="left" w:pos="1815"/>
        </w:tabs>
        <w:rPr>
          <w:lang w:eastAsia="en-US"/>
        </w:rPr>
      </w:pPr>
      <w:r>
        <w:rPr>
          <w:lang w:eastAsia="en-US"/>
        </w:rPr>
        <w:t>Source:</w:t>
      </w:r>
      <w:r>
        <w:rPr>
          <w:lang w:eastAsia="en-US"/>
        </w:rPr>
        <w:tab/>
        <w:t>Huawei, HiSilicon</w:t>
      </w:r>
    </w:p>
    <w:p w14:paraId="19FF4697" w14:textId="77777777" w:rsidR="000E6485" w:rsidRDefault="00493336">
      <w:pPr>
        <w:pStyle w:val="3GPPHeader"/>
        <w:tabs>
          <w:tab w:val="clear" w:pos="1701"/>
          <w:tab w:val="left" w:pos="1815"/>
        </w:tabs>
        <w:rPr>
          <w:lang w:eastAsia="en-US"/>
        </w:rPr>
      </w:pPr>
      <w:r>
        <w:rPr>
          <w:lang w:eastAsia="en-US"/>
        </w:rPr>
        <w:t>Title:</w:t>
      </w:r>
      <w:r>
        <w:rPr>
          <w:lang w:eastAsia="en-US"/>
        </w:rPr>
        <w:tab/>
        <w:t>Discussion on shared processing for MBS broadcast and unicast reception</w:t>
      </w:r>
    </w:p>
    <w:p w14:paraId="7143CD6B" w14:textId="77777777" w:rsidR="000E6485" w:rsidRDefault="00493336">
      <w:pPr>
        <w:pStyle w:val="3GPPHeader"/>
        <w:rPr>
          <w:lang w:eastAsia="en-US"/>
        </w:rPr>
      </w:pPr>
      <w:r>
        <w:rPr>
          <w:lang w:eastAsia="en-US"/>
        </w:rPr>
        <w:t>Document for:   Discussion and decision</w:t>
      </w:r>
    </w:p>
    <w:p w14:paraId="512C7569" w14:textId="77777777" w:rsidR="000E6485" w:rsidRDefault="00493336">
      <w:pPr>
        <w:pStyle w:val="1"/>
        <w:rPr>
          <w:rFonts w:eastAsia="Malgun Gothic"/>
        </w:rPr>
      </w:pPr>
      <w:r>
        <w:rPr>
          <w:rFonts w:eastAsia="Malgun Gothic"/>
        </w:rPr>
        <w:t>Introduction</w:t>
      </w:r>
    </w:p>
    <w:p w14:paraId="31A11A95" w14:textId="77777777" w:rsidR="000E6485" w:rsidRDefault="00493336">
      <w:r>
        <w:t xml:space="preserve">In the RAN2#122 meeting, we </w:t>
      </w:r>
      <w:r>
        <w:rPr>
          <w:rFonts w:hint="eastAsia"/>
        </w:rPr>
        <w:t>made</w:t>
      </w:r>
      <w:r>
        <w:t xml:space="preserve"> the agreements for shared processing as below [1]: </w:t>
      </w:r>
    </w:p>
    <w:tbl>
      <w:tblPr>
        <w:tblStyle w:val="ab"/>
        <w:tblW w:w="9493" w:type="dxa"/>
        <w:tblLayout w:type="fixed"/>
        <w:tblLook w:val="04A0" w:firstRow="1" w:lastRow="0" w:firstColumn="1" w:lastColumn="0" w:noHBand="0" w:noVBand="1"/>
      </w:tblPr>
      <w:tblGrid>
        <w:gridCol w:w="9493"/>
      </w:tblGrid>
      <w:tr w:rsidR="000E6485" w14:paraId="3C0B0E45" w14:textId="77777777">
        <w:tc>
          <w:tcPr>
            <w:tcW w:w="9493" w:type="dxa"/>
          </w:tcPr>
          <w:p w14:paraId="0C858D04" w14:textId="77777777" w:rsidR="000E6485" w:rsidRDefault="00493336">
            <w:pPr>
              <w:pStyle w:val="Agreement"/>
              <w:numPr>
                <w:ilvl w:val="0"/>
                <w:numId w:val="4"/>
              </w:numPr>
              <w:rPr>
                <w:rFonts w:ascii="CG Times (WN)" w:hAnsi="CG Times (WN)" w:hint="eastAsia"/>
              </w:rPr>
            </w:pPr>
            <w:r>
              <w:rPr>
                <w:rFonts w:ascii="CG Times (WN)" w:hAnsi="CG Times (WN)"/>
              </w:rPr>
              <w:t>The granularity for capability of receiving MBS broadcast from a non-serving cell is at FeatureSetDownlinkPerCC level. This capability does not imply simultan</w:t>
            </w:r>
            <w:r>
              <w:rPr>
                <w:rFonts w:ascii="CG Times (WN)" w:hAnsi="CG Times (WN)"/>
              </w:rPr>
              <w:t xml:space="preserve">eous reception on multiple CCs. </w:t>
            </w:r>
          </w:p>
          <w:p w14:paraId="7A7F7F7B" w14:textId="77777777" w:rsidR="000E6485" w:rsidRDefault="00493336">
            <w:pPr>
              <w:pStyle w:val="Agreement"/>
              <w:numPr>
                <w:ilvl w:val="0"/>
                <w:numId w:val="4"/>
              </w:numPr>
              <w:rPr>
                <w:rFonts w:ascii="CG Times (WN)" w:hAnsi="CG Times (WN)" w:hint="eastAsia"/>
              </w:rPr>
            </w:pPr>
            <w:r>
              <w:rPr>
                <w:rFonts w:ascii="CG Times (WN)" w:hAnsi="CG Times (WN)"/>
              </w:rPr>
              <w:t>No additional signalling is introduced to control information to be reported by the UE (on top of what we have already agreed).</w:t>
            </w:r>
          </w:p>
          <w:p w14:paraId="084A9842" w14:textId="77777777" w:rsidR="000E6485" w:rsidRDefault="00493336">
            <w:pPr>
              <w:pStyle w:val="Agreement"/>
              <w:numPr>
                <w:ilvl w:val="0"/>
                <w:numId w:val="4"/>
              </w:numPr>
              <w:rPr>
                <w:rFonts w:ascii="CG Times (WN)" w:hAnsi="CG Times (WN)" w:hint="eastAsia"/>
                <w:highlight w:val="yellow"/>
              </w:rPr>
            </w:pPr>
            <w:r>
              <w:rPr>
                <w:rFonts w:ascii="CG Times (WN)" w:hAnsi="CG Times (WN)"/>
              </w:rPr>
              <w:t>When sending MII, UE reports the whole information (i.e. at least frequency, bandwidth, SCS) wh</w:t>
            </w:r>
            <w:r>
              <w:rPr>
                <w:rFonts w:ascii="CG Times (WN)" w:hAnsi="CG Times (WN)"/>
              </w:rPr>
              <w:t xml:space="preserve">en indicated by SIB1 of its unicast serving cell. </w:t>
            </w:r>
            <w:r>
              <w:rPr>
                <w:rFonts w:ascii="CG Times (WN)" w:hAnsi="CG Times (WN)"/>
                <w:highlight w:val="yellow"/>
              </w:rPr>
              <w:t>FFS whether there are cases where this information is not available at the UE and what happens then.</w:t>
            </w:r>
          </w:p>
          <w:p w14:paraId="30BFD825" w14:textId="77777777" w:rsidR="000E6485" w:rsidRDefault="00493336">
            <w:pPr>
              <w:pStyle w:val="Agreement"/>
              <w:numPr>
                <w:ilvl w:val="0"/>
                <w:numId w:val="4"/>
              </w:numPr>
              <w:rPr>
                <w:rFonts w:ascii="CG Times (WN)" w:hAnsi="CG Times (WN)" w:hint="eastAsia"/>
                <w:highlight w:val="yellow"/>
              </w:rPr>
            </w:pPr>
            <w:r>
              <w:rPr>
                <w:rFonts w:ascii="CG Times (WN)" w:hAnsi="CG Times (WN)"/>
                <w:highlight w:val="yellow"/>
              </w:rPr>
              <w:t xml:space="preserve">FFS if any special </w:t>
            </w:r>
            <w:bookmarkStart w:id="0" w:name="_Hlk141796341"/>
            <w:r>
              <w:rPr>
                <w:rFonts w:ascii="CG Times (WN)" w:hAnsi="CG Times (WN)"/>
                <w:highlight w:val="yellow"/>
              </w:rPr>
              <w:t>handling is needed when the non-serving cell updates the configuration</w:t>
            </w:r>
            <w:bookmarkEnd w:id="0"/>
            <w:r>
              <w:rPr>
                <w:rFonts w:ascii="CG Times (WN)" w:hAnsi="CG Times (WN)"/>
                <w:highlight w:val="yellow"/>
              </w:rPr>
              <w:t xml:space="preserve"> (which is relev</w:t>
            </w:r>
            <w:r>
              <w:rPr>
                <w:rFonts w:ascii="CG Times (WN)" w:hAnsi="CG Times (WN)"/>
                <w:highlight w:val="yellow"/>
              </w:rPr>
              <w:t>ant for MII)</w:t>
            </w:r>
          </w:p>
          <w:p w14:paraId="4AD3D7CF" w14:textId="77777777" w:rsidR="000E6485" w:rsidRDefault="00493336">
            <w:pPr>
              <w:pStyle w:val="Agreement"/>
              <w:numPr>
                <w:ilvl w:val="0"/>
                <w:numId w:val="4"/>
              </w:numPr>
              <w:rPr>
                <w:rFonts w:ascii="CG Times (WN)" w:hAnsi="CG Times (WN)" w:hint="eastAsia"/>
              </w:rPr>
            </w:pPr>
            <w:r>
              <w:rPr>
                <w:rFonts w:ascii="CG Times (WN)" w:hAnsi="CG Times (WN)"/>
              </w:rPr>
              <w:t>No additional information is added to MII on top of what has been already agreed.</w:t>
            </w:r>
          </w:p>
        </w:tc>
      </w:tr>
    </w:tbl>
    <w:p w14:paraId="0F2F4064" w14:textId="77777777" w:rsidR="000E6485" w:rsidRDefault="00493336">
      <w:pPr>
        <w:spacing w:beforeLines="50" w:before="120"/>
      </w:pPr>
      <w:r>
        <w:t xml:space="preserve">In this contribution, we further discuss the FFS issues from </w:t>
      </w:r>
      <w:r>
        <w:t xml:space="preserve">the </w:t>
      </w:r>
      <w:r>
        <w:t>last meeting</w:t>
      </w:r>
      <w:r>
        <w:rPr>
          <w:bCs/>
        </w:rPr>
        <w:t>.</w:t>
      </w:r>
    </w:p>
    <w:p w14:paraId="22C5EF35" w14:textId="77777777" w:rsidR="000E6485" w:rsidRDefault="00493336">
      <w:pPr>
        <w:pStyle w:val="1"/>
        <w:rPr>
          <w:rFonts w:eastAsiaTheme="minorEastAsia"/>
        </w:rPr>
      </w:pPr>
      <w:r>
        <w:rPr>
          <w:rFonts w:eastAsiaTheme="minorEastAsia"/>
        </w:rPr>
        <w:t>Discussion</w:t>
      </w:r>
    </w:p>
    <w:p w14:paraId="1E76848B" w14:textId="77777777" w:rsidR="000E6485" w:rsidRDefault="00493336">
      <w:pPr>
        <w:pStyle w:val="2"/>
        <w:rPr>
          <w:rFonts w:eastAsia="宋体"/>
        </w:rPr>
      </w:pPr>
      <w:r>
        <w:rPr>
          <w:rFonts w:eastAsia="宋体" w:hint="eastAsia"/>
        </w:rPr>
        <w:t>M</w:t>
      </w:r>
      <w:r>
        <w:rPr>
          <w:rFonts w:eastAsia="宋体"/>
        </w:rPr>
        <w:t>II reporting procedure</w:t>
      </w:r>
    </w:p>
    <w:p w14:paraId="43C79C7E" w14:textId="643F0058" w:rsidR="000E6485" w:rsidRDefault="00493336">
      <w:r>
        <w:t xml:space="preserve">In </w:t>
      </w:r>
      <w:r>
        <w:t xml:space="preserve">the </w:t>
      </w:r>
      <w:r>
        <w:t>last meeting</w:t>
      </w:r>
      <w:r>
        <w:t>, it was agreed that the w</w:t>
      </w:r>
      <w:r>
        <w:t xml:space="preserve">hole information (i.e. frequency, bandwidth, SCS) is included in the MII for non-serving cell if allowed by SIB1 of its </w:t>
      </w:r>
      <w:r>
        <w:t xml:space="preserve">serving cell. However, it is still FFS whether there are cases where the whole information is not available at the UE. </w:t>
      </w:r>
    </w:p>
    <w:p w14:paraId="5BCB5900" w14:textId="1C3B7B56" w:rsidR="000E6485" w:rsidRDefault="00493336">
      <w:r>
        <w:t>In our u</w:t>
      </w:r>
      <w:r>
        <w:t xml:space="preserve">nderstanding, </w:t>
      </w:r>
      <w:r>
        <w:t>a</w:t>
      </w:r>
      <w:r>
        <w:t xml:space="preserve">s the processing resources of the UE are shared between the unicast/multicast transmission from serving cells and the broadcast reception from </w:t>
      </w:r>
      <w:r>
        <w:t>non-serving cell, it is possible that the UE is unable to read the SIB1 of the non-</w:t>
      </w:r>
      <w:r>
        <w:t>serving</w:t>
      </w:r>
      <w:r>
        <w:t xml:space="preserve"> cell </w:t>
      </w:r>
      <w:r>
        <w:t>during</w:t>
      </w:r>
      <w:r>
        <w:t xml:space="preserve"> unicast/multicast transmission. For example, when the configured CA/DC transmission for unicast occupies all the processing reso</w:t>
      </w:r>
      <w:r>
        <w:t>urces of the UE</w:t>
      </w:r>
      <w:r>
        <w:t>, the UE cannot read</w:t>
      </w:r>
      <w:r>
        <w:t xml:space="preserve"> the SIB1 from the non-serving cell</w:t>
      </w:r>
      <w:r>
        <w:t xml:space="preserve">. In this case, only the frequency of the non-serving cell is available based on SIB21 from the serving cell or based on USD, but the additional information (e.g. SCS, bandwidth) of the </w:t>
      </w:r>
      <w:r>
        <w:t xml:space="preserve">non-serving cell is not available. </w:t>
      </w:r>
    </w:p>
    <w:p w14:paraId="495ED220" w14:textId="0DB8F290" w:rsidR="000E6485" w:rsidRDefault="00493336">
      <w:pPr>
        <w:rPr>
          <w:b/>
        </w:rPr>
      </w:pPr>
      <w:r>
        <w:rPr>
          <w:rFonts w:hint="eastAsia"/>
          <w:b/>
        </w:rPr>
        <w:t>O</w:t>
      </w:r>
      <w:r>
        <w:rPr>
          <w:b/>
        </w:rPr>
        <w:t xml:space="preserve">bservation 1: </w:t>
      </w:r>
      <w:r>
        <w:rPr>
          <w:b/>
        </w:rPr>
        <w:t>It is possible that the UE cannot read the SIB1 from the non-serving cell</w:t>
      </w:r>
      <w:r>
        <w:rPr>
          <w:b/>
        </w:rPr>
        <w:t xml:space="preserve"> so that </w:t>
      </w:r>
      <w:r>
        <w:rPr>
          <w:b/>
        </w:rPr>
        <w:t xml:space="preserve">the SCS/bandwidth from the non-serving cell is not available </w:t>
      </w:r>
      <w:r>
        <w:rPr>
          <w:b/>
        </w:rPr>
        <w:t>at</w:t>
      </w:r>
      <w:r>
        <w:rPr>
          <w:b/>
        </w:rPr>
        <w:t xml:space="preserve"> the UE.</w:t>
      </w:r>
    </w:p>
    <w:p w14:paraId="55B003FE" w14:textId="77777777" w:rsidR="000E6485" w:rsidRDefault="00493336">
      <w:r>
        <w:t>T</w:t>
      </w:r>
      <w:r>
        <w:t>o avoid interruption of the on-going services, the additional information cannot be reported by the UE without proper configuration from the serving gNB. In legacy NR, to report the CGI for inter-frequency or inter-RAT, the UE can be configured by the netw</w:t>
      </w:r>
      <w:r>
        <w:t xml:space="preserve">ork to use </w:t>
      </w:r>
      <w:r>
        <w:t xml:space="preserve">the </w:t>
      </w:r>
      <w:r>
        <w:t xml:space="preserve">autonomous gap. Similar mechanism (e.g. </w:t>
      </w:r>
      <w:r>
        <w:t xml:space="preserve">the </w:t>
      </w:r>
      <w:r>
        <w:t xml:space="preserve">existing autonomous gap) can be reused to acquire the information from the non-serving cell in case they cannot be acquired while performing the communication with the serving cell(s). </w:t>
      </w:r>
    </w:p>
    <w:p w14:paraId="5C961677" w14:textId="6F181CDF" w:rsidR="000E6485" w:rsidRDefault="00493336">
      <w:r>
        <w:t>To be speci</w:t>
      </w:r>
      <w:r>
        <w:t>fic, the whole information (i.e</w:t>
      </w:r>
      <w:r>
        <w:t>.,</w:t>
      </w:r>
      <w:r>
        <w:t xml:space="preserve"> frequency, SCS, bandwidth) </w:t>
      </w:r>
      <w:r>
        <w:t>can be</w:t>
      </w:r>
      <w:r>
        <w:t xml:space="preserve"> reported in the MII if available. But if </w:t>
      </w:r>
      <w:r>
        <w:t>any</w:t>
      </w:r>
      <w:r>
        <w:t xml:space="preserve"> information</w:t>
      </w:r>
      <w:r>
        <w:t xml:space="preserve"> (</w:t>
      </w:r>
      <w:r>
        <w:t>e.g.,</w:t>
      </w:r>
      <w:r>
        <w:t xml:space="preserve"> SCS, bandwidth)</w:t>
      </w:r>
      <w:r>
        <w:t xml:space="preserve"> is not available, the UE </w:t>
      </w:r>
      <w:r>
        <w:t xml:space="preserve">has no choice but </w:t>
      </w:r>
      <w:r>
        <w:t>only report</w:t>
      </w:r>
      <w:r>
        <w:t>s</w:t>
      </w:r>
      <w:r>
        <w:t xml:space="preserve"> the interested broadcast frequency in the MII. </w:t>
      </w:r>
      <w:r>
        <w:t>In order for the UE to report whole information to the NW</w:t>
      </w:r>
      <w:r>
        <w:t>, a</w:t>
      </w:r>
      <w:r>
        <w:t xml:space="preserve">fter receiving the MII, the NW can </w:t>
      </w:r>
      <w:r>
        <w:lastRenderedPageBreak/>
        <w:t xml:space="preserve">choose to </w:t>
      </w:r>
      <w:r>
        <w:t>configure an autonomous gap for the UE</w:t>
      </w:r>
      <w:r>
        <w:t>,</w:t>
      </w:r>
      <w:r>
        <w:t xml:space="preserve"> </w:t>
      </w:r>
      <w:r>
        <w:t xml:space="preserve">to </w:t>
      </w:r>
      <w:r>
        <w:t>enabl</w:t>
      </w:r>
      <w:r>
        <w:t>e</w:t>
      </w:r>
      <w:r>
        <w:t xml:space="preserve"> the UE to acquire the SCS/</w:t>
      </w:r>
      <w:r>
        <w:rPr>
          <w:rFonts w:hint="eastAsia"/>
        </w:rPr>
        <w:t>band</w:t>
      </w:r>
      <w:r>
        <w:t xml:space="preserve">width information from the non-serving cell. </w:t>
      </w:r>
      <w:r>
        <w:t>T</w:t>
      </w:r>
      <w:r>
        <w:t xml:space="preserve">he whole information </w:t>
      </w:r>
      <w:r>
        <w:t>can be reported once available</w:t>
      </w:r>
      <w:r>
        <w:t>.</w:t>
      </w:r>
    </w:p>
    <w:p w14:paraId="5C6DA69C" w14:textId="6FAAE984" w:rsidR="000E6485" w:rsidRDefault="00493336">
      <w:pPr>
        <w:rPr>
          <w:b/>
        </w:rPr>
      </w:pPr>
      <w:r>
        <w:rPr>
          <w:b/>
        </w:rPr>
        <w:t>Proposal 1</w:t>
      </w:r>
      <w:r>
        <w:rPr>
          <w:b/>
        </w:rPr>
        <w:t>：</w:t>
      </w:r>
      <w:r>
        <w:rPr>
          <w:rFonts w:hint="eastAsia"/>
          <w:b/>
        </w:rPr>
        <w:t>W</w:t>
      </w:r>
      <w:r>
        <w:rPr>
          <w:b/>
        </w:rPr>
        <w:t>hen</w:t>
      </w:r>
      <w:r>
        <w:rPr>
          <w:b/>
        </w:rPr>
        <w:t xml:space="preserve"> SCS/</w:t>
      </w:r>
      <w:r>
        <w:rPr>
          <w:rFonts w:hint="eastAsia"/>
          <w:b/>
        </w:rPr>
        <w:t>ban</w:t>
      </w:r>
      <w:r>
        <w:rPr>
          <w:b/>
        </w:rPr>
        <w:t>dwidth of the non-serving cell is not available</w:t>
      </w:r>
      <w:r>
        <w:rPr>
          <w:b/>
        </w:rPr>
        <w:t xml:space="preserve"> (i.e. the UE is not able to acquire it from the non-serving cell)</w:t>
      </w:r>
      <w:r>
        <w:rPr>
          <w:b/>
        </w:rPr>
        <w:t xml:space="preserve">, only frequency information is reported in the MII. </w:t>
      </w:r>
      <w:r>
        <w:rPr>
          <w:b/>
        </w:rPr>
        <w:t>T</w:t>
      </w:r>
      <w:r>
        <w:rPr>
          <w:b/>
        </w:rPr>
        <w:t>he whole information is reported</w:t>
      </w:r>
      <w:r>
        <w:rPr>
          <w:b/>
        </w:rPr>
        <w:t xml:space="preserve"> on</w:t>
      </w:r>
      <w:r>
        <w:rPr>
          <w:b/>
        </w:rPr>
        <w:t>ce available</w:t>
      </w:r>
      <w:r>
        <w:rPr>
          <w:b/>
        </w:rPr>
        <w:t>.</w:t>
      </w:r>
    </w:p>
    <w:p w14:paraId="03D60B27" w14:textId="77777777" w:rsidR="000E6485" w:rsidRDefault="00493336">
      <w:r>
        <w:rPr>
          <w:rFonts w:hint="eastAsia"/>
        </w:rPr>
        <w:t>I</w:t>
      </w:r>
      <w:r>
        <w:t xml:space="preserve">n </w:t>
      </w:r>
      <w:r>
        <w:t xml:space="preserve">the </w:t>
      </w:r>
      <w:r>
        <w:t>last meeting, it is also FFS whether special handling for MII reporting is needed when the non-serving cell updates the conf</w:t>
      </w:r>
      <w:r>
        <w:t>iguration. A</w:t>
      </w:r>
      <w:r>
        <w:rPr>
          <w:rFonts w:hint="eastAsia"/>
        </w:rPr>
        <w:t>cc</w:t>
      </w:r>
      <w:r>
        <w:t xml:space="preserve">ording to the current spec in Rel-17, the MII will be initiated when the content of MII changes as follows.  </w:t>
      </w:r>
    </w:p>
    <w:tbl>
      <w:tblPr>
        <w:tblStyle w:val="ab"/>
        <w:tblW w:w="9629" w:type="dxa"/>
        <w:tblLayout w:type="fixed"/>
        <w:tblLook w:val="04A0" w:firstRow="1" w:lastRow="0" w:firstColumn="1" w:lastColumn="0" w:noHBand="0" w:noVBand="1"/>
      </w:tblPr>
      <w:tblGrid>
        <w:gridCol w:w="9629"/>
      </w:tblGrid>
      <w:tr w:rsidR="000E6485" w14:paraId="40B68141" w14:textId="77777777">
        <w:tc>
          <w:tcPr>
            <w:tcW w:w="9629" w:type="dxa"/>
          </w:tcPr>
          <w:p w14:paraId="45767B49" w14:textId="77777777" w:rsidR="000E6485" w:rsidRDefault="00493336">
            <w:pPr>
              <w:spacing w:after="180"/>
              <w:ind w:left="568" w:hanging="284"/>
              <w:jc w:val="left"/>
              <w:textAlignment w:val="baseline"/>
              <w:rPr>
                <w:rFonts w:ascii="CG Times (WN)" w:eastAsia="Times New Roman" w:hAnsi="CG Times (WN)"/>
                <w:lang w:eastAsia="ja-JP"/>
              </w:rPr>
            </w:pPr>
            <w:r>
              <w:rPr>
                <w:rFonts w:ascii="CG Times (WN)" w:eastAsia="Times New Roman" w:hAnsi="CG Times (WN)"/>
                <w:lang w:eastAsia="ja-JP"/>
              </w:rPr>
              <w:t>1&gt;</w:t>
            </w:r>
            <w:r>
              <w:rPr>
                <w:rFonts w:ascii="CG Times (WN)" w:eastAsia="Times New Roman" w:hAnsi="CG Times (WN)"/>
                <w:lang w:eastAsia="ja-JP"/>
              </w:rPr>
              <w:tab/>
              <w:t xml:space="preserve">if </w:t>
            </w:r>
            <w:r>
              <w:rPr>
                <w:rFonts w:ascii="CG Times (WN)" w:eastAsia="Times New Roman" w:hAnsi="CG Times (WN)"/>
                <w:i/>
                <w:lang w:eastAsia="ja-JP"/>
              </w:rPr>
              <w:t>SIB21</w:t>
            </w:r>
            <w:r>
              <w:rPr>
                <w:rFonts w:ascii="CG Times (WN)" w:eastAsia="Times New Roman" w:hAnsi="CG Times (WN)"/>
                <w:lang w:eastAsia="ja-JP"/>
              </w:rPr>
              <w:t xml:space="preserve"> is provided by the PCell:</w:t>
            </w:r>
          </w:p>
          <w:p w14:paraId="6D64681F" w14:textId="77777777" w:rsidR="000E6485" w:rsidRDefault="00493336">
            <w:pPr>
              <w:spacing w:after="180"/>
              <w:ind w:left="851" w:hanging="284"/>
              <w:jc w:val="left"/>
              <w:textAlignment w:val="baseline"/>
              <w:rPr>
                <w:rFonts w:ascii="CG Times (WN)" w:eastAsia="Times New Roman" w:hAnsi="CG Times (WN)"/>
                <w:lang w:eastAsia="ja-JP"/>
              </w:rPr>
            </w:pPr>
            <w:r>
              <w:rPr>
                <w:rFonts w:ascii="CG Times (WN)" w:eastAsia="Times New Roman" w:hAnsi="CG Times (WN)"/>
                <w:lang w:eastAsia="ja-JP"/>
              </w:rPr>
              <w:t>2&gt;</w:t>
            </w:r>
            <w:r>
              <w:rPr>
                <w:rFonts w:ascii="CG Times (WN)" w:eastAsia="Times New Roman" w:hAnsi="CG Times (WN)"/>
                <w:lang w:eastAsia="ja-JP"/>
              </w:rPr>
              <w:tab/>
              <w:t xml:space="preserve">ensure having a valid version of </w:t>
            </w:r>
            <w:r>
              <w:rPr>
                <w:rFonts w:ascii="CG Times (WN)" w:eastAsia="Times New Roman" w:hAnsi="CG Times (WN)"/>
                <w:i/>
                <w:iCs/>
                <w:lang w:eastAsia="ja-JP"/>
              </w:rPr>
              <w:t>SIB21</w:t>
            </w:r>
            <w:r>
              <w:rPr>
                <w:rFonts w:ascii="CG Times (WN)" w:eastAsia="Times New Roman" w:hAnsi="CG Times (WN)"/>
                <w:lang w:eastAsia="ja-JP"/>
              </w:rPr>
              <w:t xml:space="preserve"> for the PCell;</w:t>
            </w:r>
          </w:p>
          <w:p w14:paraId="3FFB6DD7" w14:textId="77777777" w:rsidR="000E6485" w:rsidRDefault="00493336">
            <w:pPr>
              <w:spacing w:after="180"/>
              <w:ind w:left="851" w:hanging="284"/>
              <w:jc w:val="left"/>
              <w:textAlignment w:val="baseline"/>
              <w:rPr>
                <w:rFonts w:ascii="CG Times (WN)" w:eastAsia="Times New Roman" w:hAnsi="CG Times (WN)"/>
                <w:lang w:eastAsia="ja-JP"/>
              </w:rPr>
            </w:pPr>
            <w:r>
              <w:rPr>
                <w:rFonts w:ascii="CG Times (WN)" w:eastAsia="Times New Roman" w:hAnsi="CG Times (WN)"/>
                <w:lang w:eastAsia="ja-JP"/>
              </w:rPr>
              <w:t>2&gt;</w:t>
            </w:r>
            <w:r>
              <w:rPr>
                <w:rFonts w:ascii="CG Times (WN)" w:eastAsia="Times New Roman" w:hAnsi="CG Times (WN)"/>
                <w:lang w:eastAsia="ja-JP"/>
              </w:rPr>
              <w:tab/>
              <w:t xml:space="preserve">if the UE did not transmit MBS </w:t>
            </w:r>
            <w:r>
              <w:rPr>
                <w:rFonts w:ascii="CG Times (WN)" w:eastAsia="Times New Roman" w:hAnsi="CG Times (WN)"/>
                <w:lang w:eastAsia="ja-JP"/>
              </w:rPr>
              <w:t>Interest Indication since last entering RRC_CONNECTED state; or</w:t>
            </w:r>
          </w:p>
          <w:p w14:paraId="2BB19F42" w14:textId="77777777" w:rsidR="000E6485" w:rsidRDefault="00493336">
            <w:pPr>
              <w:spacing w:after="180"/>
              <w:ind w:left="851" w:hanging="284"/>
              <w:jc w:val="left"/>
              <w:textAlignment w:val="baseline"/>
              <w:rPr>
                <w:rFonts w:ascii="CG Times (WN)" w:eastAsia="Times New Roman" w:hAnsi="CG Times (WN)"/>
                <w:lang w:eastAsia="ja-JP"/>
              </w:rPr>
            </w:pPr>
            <w:r>
              <w:rPr>
                <w:rFonts w:ascii="CG Times (WN)" w:eastAsia="Times New Roman" w:hAnsi="CG Times (WN)"/>
                <w:lang w:eastAsia="ja-JP"/>
              </w:rPr>
              <w:t>2&gt;</w:t>
            </w:r>
            <w:r>
              <w:rPr>
                <w:rFonts w:ascii="CG Times (WN)" w:eastAsia="Times New Roman" w:hAnsi="CG Times (WN)"/>
                <w:lang w:eastAsia="ja-JP"/>
              </w:rPr>
              <w:tab/>
              <w:t xml:space="preserve">if since the last time the UE transmitted an MBS Interest Indication, the UE connected to a PCell not </w:t>
            </w:r>
            <w:r>
              <w:rPr>
                <w:rFonts w:ascii="CG Times (WN)" w:eastAsia="Times New Roman" w:hAnsi="CG Times (WN)"/>
              </w:rPr>
              <w:t xml:space="preserve">providing </w:t>
            </w:r>
            <w:r>
              <w:rPr>
                <w:rFonts w:ascii="CG Times (WN)" w:eastAsia="Times New Roman" w:hAnsi="CG Times (WN)"/>
                <w:i/>
                <w:lang w:eastAsia="ja-JP"/>
              </w:rPr>
              <w:t>SIB21</w:t>
            </w:r>
            <w:r>
              <w:rPr>
                <w:rFonts w:ascii="CG Times (WN)" w:eastAsia="Times New Roman" w:hAnsi="CG Times (WN)"/>
                <w:lang w:eastAsia="ja-JP"/>
              </w:rPr>
              <w:t>:</w:t>
            </w:r>
          </w:p>
          <w:p w14:paraId="58376BC2" w14:textId="77777777" w:rsidR="000E6485" w:rsidRDefault="00493336">
            <w:pPr>
              <w:spacing w:after="180"/>
              <w:ind w:left="1135" w:hanging="284"/>
              <w:jc w:val="left"/>
              <w:textAlignment w:val="baseline"/>
              <w:rPr>
                <w:rFonts w:ascii="CG Times (WN)" w:eastAsia="Times New Roman" w:hAnsi="CG Times (WN)"/>
                <w:lang w:eastAsia="ja-JP"/>
              </w:rPr>
            </w:pPr>
            <w:r>
              <w:rPr>
                <w:rFonts w:ascii="CG Times (WN)" w:eastAsia="Times New Roman" w:hAnsi="CG Times (WN)"/>
                <w:lang w:eastAsia="ja-JP"/>
              </w:rPr>
              <w:t>3&gt;</w:t>
            </w:r>
            <w:r>
              <w:rPr>
                <w:rFonts w:ascii="CG Times (WN)" w:eastAsia="Times New Roman" w:hAnsi="CG Times (WN)"/>
                <w:lang w:eastAsia="ja-JP"/>
              </w:rPr>
              <w:tab/>
              <w:t xml:space="preserve">if the set of MBS broadcast frequencies of interest, determined in </w:t>
            </w:r>
            <w:r>
              <w:rPr>
                <w:rFonts w:ascii="CG Times (WN)" w:eastAsia="Times New Roman" w:hAnsi="CG Times (WN)"/>
                <w:lang w:eastAsia="ja-JP"/>
              </w:rPr>
              <w:t>accordance with 5.9.4.3, is not empty:</w:t>
            </w:r>
          </w:p>
          <w:p w14:paraId="612DE7F0" w14:textId="77777777" w:rsidR="000E6485" w:rsidRDefault="00493336">
            <w:pPr>
              <w:spacing w:after="180"/>
              <w:ind w:left="1418" w:hanging="284"/>
              <w:jc w:val="left"/>
              <w:textAlignment w:val="baseline"/>
              <w:rPr>
                <w:rFonts w:ascii="CG Times (WN)" w:eastAsia="Times New Roman" w:hAnsi="CG Times (WN)"/>
                <w:lang w:eastAsia="ja-JP"/>
              </w:rPr>
            </w:pPr>
            <w:r>
              <w:rPr>
                <w:rFonts w:ascii="CG Times (WN)" w:eastAsia="Times New Roman" w:hAnsi="CG Times (WN)"/>
                <w:lang w:eastAsia="ja-JP"/>
              </w:rPr>
              <w:t>4&gt;</w:t>
            </w:r>
            <w:r>
              <w:rPr>
                <w:rFonts w:ascii="CG Times (WN)" w:eastAsia="Times New Roman" w:hAnsi="CG Times (WN)"/>
                <w:lang w:eastAsia="ja-JP"/>
              </w:rPr>
              <w:tab/>
              <w:t xml:space="preserve">set the contents of MBS Interest Indication according to 5.9.4.5 and initiate transmission of the </w:t>
            </w:r>
            <w:r>
              <w:rPr>
                <w:rFonts w:ascii="CG Times (WN)" w:eastAsia="Times New Roman" w:hAnsi="CG Times (WN)"/>
                <w:i/>
                <w:lang w:eastAsia="ja-JP"/>
              </w:rPr>
              <w:t>MBSInterestIndication</w:t>
            </w:r>
            <w:r>
              <w:rPr>
                <w:rFonts w:ascii="CG Times (WN)" w:eastAsia="Times New Roman" w:hAnsi="CG Times (WN)"/>
                <w:lang w:eastAsia="ja-JP"/>
              </w:rPr>
              <w:t xml:space="preserve"> message;</w:t>
            </w:r>
          </w:p>
          <w:p w14:paraId="3927C2B2" w14:textId="77777777" w:rsidR="000E6485" w:rsidRDefault="00493336">
            <w:pPr>
              <w:spacing w:after="180"/>
              <w:ind w:left="851" w:hanging="284"/>
              <w:jc w:val="left"/>
              <w:textAlignment w:val="baseline"/>
              <w:rPr>
                <w:rFonts w:ascii="CG Times (WN)" w:eastAsia="Times New Roman" w:hAnsi="CG Times (WN)"/>
                <w:lang w:eastAsia="ja-JP"/>
              </w:rPr>
            </w:pPr>
            <w:r>
              <w:rPr>
                <w:rFonts w:ascii="CG Times (WN)" w:eastAsia="Times New Roman" w:hAnsi="CG Times (WN)"/>
                <w:lang w:eastAsia="ja-JP"/>
              </w:rPr>
              <w:t>2&gt;</w:t>
            </w:r>
            <w:r>
              <w:rPr>
                <w:rFonts w:ascii="CG Times (WN)" w:eastAsia="Times New Roman" w:hAnsi="CG Times (WN)"/>
                <w:lang w:eastAsia="ja-JP"/>
              </w:rPr>
              <w:tab/>
              <w:t>else:</w:t>
            </w:r>
          </w:p>
          <w:p w14:paraId="4564FEB4" w14:textId="77777777" w:rsidR="000E6485" w:rsidRDefault="00493336">
            <w:pPr>
              <w:spacing w:after="180"/>
              <w:ind w:left="1135" w:hanging="284"/>
              <w:jc w:val="left"/>
              <w:textAlignment w:val="baseline"/>
              <w:rPr>
                <w:rFonts w:ascii="CG Times (WN)" w:eastAsia="Times New Roman" w:hAnsi="CG Times (WN)"/>
                <w:highlight w:val="yellow"/>
                <w:lang w:eastAsia="ja-JP"/>
              </w:rPr>
            </w:pPr>
            <w:r>
              <w:rPr>
                <w:rFonts w:ascii="CG Times (WN)" w:eastAsia="Times New Roman" w:hAnsi="CG Times (WN)"/>
                <w:highlight w:val="yellow"/>
                <w:lang w:eastAsia="ja-JP"/>
              </w:rPr>
              <w:t>3&gt;</w:t>
            </w:r>
            <w:r>
              <w:rPr>
                <w:rFonts w:ascii="CG Times (WN)" w:eastAsia="Times New Roman" w:hAnsi="CG Times (WN)"/>
                <w:highlight w:val="yellow"/>
                <w:lang w:eastAsia="ja-JP"/>
              </w:rPr>
              <w:tab/>
            </w:r>
            <w:r>
              <w:rPr>
                <w:rFonts w:ascii="CG Times (WN)" w:eastAsia="Times New Roman" w:hAnsi="CG Times (WN)"/>
                <w:highlight w:val="yellow"/>
                <w:lang w:eastAsia="ja-JP"/>
              </w:rPr>
              <w:t xml:space="preserve">if the set of MBS broadcast frequencies of interest, determined in accordance with 5.9.4.3, is different from </w:t>
            </w:r>
            <w:r>
              <w:rPr>
                <w:rFonts w:ascii="CG Times (WN)" w:eastAsia="Times New Roman" w:hAnsi="CG Times (WN)"/>
                <w:i/>
                <w:highlight w:val="yellow"/>
                <w:lang w:eastAsia="ja-JP"/>
              </w:rPr>
              <w:t>mbs-FreqList</w:t>
            </w:r>
            <w:r>
              <w:rPr>
                <w:rFonts w:ascii="CG Times (WN)" w:eastAsia="Times New Roman" w:hAnsi="CG Times (WN)"/>
                <w:highlight w:val="yellow"/>
                <w:lang w:eastAsia="ja-JP"/>
              </w:rPr>
              <w:t xml:space="preserve"> </w:t>
            </w:r>
            <w:r>
              <w:rPr>
                <w:rFonts w:ascii="CG Times (WN)" w:eastAsia="Times New Roman" w:hAnsi="CG Times (WN)"/>
                <w:highlight w:val="yellow"/>
              </w:rPr>
              <w:t>included in the last transmission of the MBS Interest Indication</w:t>
            </w:r>
            <w:r>
              <w:rPr>
                <w:rFonts w:ascii="CG Times (WN)" w:eastAsia="Times New Roman" w:hAnsi="CG Times (WN)"/>
                <w:highlight w:val="yellow"/>
                <w:lang w:eastAsia="ja-JP"/>
              </w:rPr>
              <w:t>; or</w:t>
            </w:r>
          </w:p>
          <w:p w14:paraId="4E8C29A3" w14:textId="77777777" w:rsidR="000E6485" w:rsidRDefault="00493336">
            <w:pPr>
              <w:spacing w:after="180"/>
              <w:ind w:left="1135" w:hanging="284"/>
              <w:jc w:val="left"/>
              <w:textAlignment w:val="baseline"/>
              <w:rPr>
                <w:rFonts w:ascii="CG Times (WN)" w:eastAsia="Times New Roman" w:hAnsi="CG Times (WN)"/>
                <w:lang w:eastAsia="ja-JP"/>
              </w:rPr>
            </w:pPr>
            <w:r>
              <w:rPr>
                <w:rFonts w:ascii="CG Times (WN)" w:eastAsia="Times New Roman" w:hAnsi="CG Times (WN)"/>
                <w:highlight w:val="yellow"/>
                <w:lang w:eastAsia="ja-JP"/>
              </w:rPr>
              <w:t>3&gt;</w:t>
            </w:r>
            <w:r>
              <w:rPr>
                <w:rFonts w:ascii="CG Times (WN)" w:eastAsia="Times New Roman" w:hAnsi="CG Times (WN)"/>
                <w:highlight w:val="yellow"/>
                <w:lang w:eastAsia="ja-JP"/>
              </w:rPr>
              <w:tab/>
              <w:t>if the prioritisation of reception of all indicated MBS broad</w:t>
            </w:r>
            <w:r>
              <w:rPr>
                <w:rFonts w:ascii="CG Times (WN)" w:eastAsia="Times New Roman" w:hAnsi="CG Times (WN)"/>
                <w:highlight w:val="yellow"/>
                <w:lang w:eastAsia="ja-JP"/>
              </w:rPr>
              <w:t>cast frequencies compared to reception of any of the established unicast bearers and multicast MRBs has changed since the last transmission of the MBS Interest Indication:</w:t>
            </w:r>
          </w:p>
          <w:p w14:paraId="722641C8" w14:textId="77777777" w:rsidR="000E6485" w:rsidRDefault="00493336">
            <w:pPr>
              <w:spacing w:after="180"/>
              <w:ind w:left="1418" w:hanging="284"/>
              <w:jc w:val="left"/>
              <w:textAlignment w:val="baseline"/>
              <w:rPr>
                <w:rFonts w:ascii="CG Times (WN)" w:eastAsia="Yu Mincho" w:hAnsi="CG Times (WN)" w:hint="eastAsia"/>
                <w:lang w:eastAsia="ja-JP"/>
              </w:rPr>
            </w:pPr>
            <w:r>
              <w:rPr>
                <w:rFonts w:ascii="CG Times (WN)" w:eastAsia="Times New Roman" w:hAnsi="CG Times (WN)"/>
                <w:lang w:eastAsia="ja-JP"/>
              </w:rPr>
              <w:t>4&gt;</w:t>
            </w:r>
            <w:r>
              <w:rPr>
                <w:rFonts w:ascii="CG Times (WN)" w:eastAsia="Times New Roman" w:hAnsi="CG Times (WN)"/>
                <w:lang w:eastAsia="ja-JP"/>
              </w:rPr>
              <w:tab/>
              <w:t>set the contents of MBS Interest Indication according to 5.9.4.5 and initiate tra</w:t>
            </w:r>
            <w:r>
              <w:rPr>
                <w:rFonts w:ascii="CG Times (WN)" w:eastAsia="Times New Roman" w:hAnsi="CG Times (WN)"/>
                <w:lang w:eastAsia="ja-JP"/>
              </w:rPr>
              <w:t xml:space="preserve">nsmission of the </w:t>
            </w:r>
            <w:r>
              <w:rPr>
                <w:rFonts w:ascii="CG Times (WN)" w:eastAsia="Times New Roman" w:hAnsi="CG Times (WN)"/>
                <w:i/>
                <w:lang w:eastAsia="ja-JP"/>
              </w:rPr>
              <w:t>MBSInterestIndication</w:t>
            </w:r>
            <w:r>
              <w:rPr>
                <w:rFonts w:ascii="CG Times (WN)" w:eastAsia="Times New Roman" w:hAnsi="CG Times (WN)"/>
                <w:lang w:eastAsia="ja-JP"/>
              </w:rPr>
              <w:t xml:space="preserve"> message;</w:t>
            </w:r>
          </w:p>
        </w:tc>
      </w:tr>
    </w:tbl>
    <w:p w14:paraId="34896E29" w14:textId="77777777" w:rsidR="000E6485" w:rsidRDefault="000E6485"/>
    <w:p w14:paraId="1753E2AE" w14:textId="42970ADF" w:rsidR="000E6485" w:rsidRDefault="00493336">
      <w:r>
        <w:t>In our view, the initiation of the MII should follow the similar mechanism as Rel-17, i.e. the UE initiates transmission of the MII message when the frequency, SCS or bandwidth for non-serving cell broadcas</w:t>
      </w:r>
      <w:r>
        <w:t xml:space="preserve">t reception has changed. </w:t>
      </w:r>
      <w:r>
        <w:rPr>
          <w:rFonts w:hint="eastAsia"/>
        </w:rPr>
        <w:t>In</w:t>
      </w:r>
      <w:r>
        <w:t xml:space="preserve"> </w:t>
      </w:r>
      <w:r>
        <w:t xml:space="preserve">the </w:t>
      </w:r>
      <w:r>
        <w:t>last meeting, some companies have concern on the signalling overhead, and it was proposed to avoid repeated MII reporting on the condition that multiple UEs are receiving broadcast from the same non-serving cell. However, it</w:t>
      </w:r>
      <w:r>
        <w:t xml:space="preserve"> is hard for the NW to manage the UEs receiving broadcast from the same non-servings, and dynamically decide which UE to report or not to report the MII considering UE</w:t>
      </w:r>
      <w:r>
        <w:t>’s</w:t>
      </w:r>
      <w:r>
        <w:t xml:space="preserve"> mobility. Besides, </w:t>
      </w:r>
      <w:r>
        <w:t xml:space="preserve">different </w:t>
      </w:r>
      <w:r>
        <w:t>non-serving cells on the same frequency may not share</w:t>
      </w:r>
      <w:r>
        <w:t xml:space="preserve"> the same configuration. </w:t>
      </w:r>
      <w:r>
        <w:t>What’s more, t</w:t>
      </w:r>
      <w:r>
        <w:t xml:space="preserve">he change of SCS or bandwidth of the non-serving cell </w:t>
      </w:r>
      <w:r>
        <w:t xml:space="preserve">does </w:t>
      </w:r>
      <w:r>
        <w:t xml:space="preserve">not happen frequently. </w:t>
      </w:r>
      <w:r>
        <w:t xml:space="preserve">Considering the above reasons, it is better not to </w:t>
      </w:r>
      <w:r>
        <w:t>mak</w:t>
      </w:r>
      <w:r w:rsidR="00951843">
        <w:t>e the procedure further complex</w:t>
      </w:r>
      <w:bookmarkStart w:id="1" w:name="_GoBack"/>
      <w:bookmarkEnd w:id="1"/>
      <w:r>
        <w:t>.</w:t>
      </w:r>
    </w:p>
    <w:p w14:paraId="1668D0D6" w14:textId="77777777" w:rsidR="000E6485" w:rsidRDefault="00493336">
      <w:pPr>
        <w:rPr>
          <w:b/>
        </w:rPr>
      </w:pPr>
      <w:r>
        <w:rPr>
          <w:b/>
        </w:rPr>
        <w:t>Proposal 2: No special handling is needed on MII reporting when the non-serving cell updates the configuration.</w:t>
      </w:r>
    </w:p>
    <w:p w14:paraId="4E206268" w14:textId="77777777" w:rsidR="000E6485" w:rsidRDefault="00493336">
      <w:pPr>
        <w:pStyle w:val="2"/>
        <w:rPr>
          <w:rFonts w:eastAsia="宋体"/>
        </w:rPr>
      </w:pPr>
      <w:r>
        <w:rPr>
          <w:rFonts w:eastAsia="宋体" w:hint="eastAsia"/>
        </w:rPr>
        <w:t>M</w:t>
      </w:r>
      <w:r>
        <w:rPr>
          <w:rFonts w:eastAsia="宋体"/>
        </w:rPr>
        <w:t>II content</w:t>
      </w:r>
    </w:p>
    <w:p w14:paraId="4B6C0041" w14:textId="77777777" w:rsidR="000E6485" w:rsidRDefault="00493336">
      <w:r>
        <w:t>In our understanding, the MBS broadcast config</w:t>
      </w:r>
      <w:r>
        <w:t>uration in the non-serving cell should be aligned with the MBS broadcast configuration used for serving cell in Rel-17. Therefore, if SCS is included in the MII for shared processing, it should be the SCS of the initial BWP (i.e. CORESET#0) of the non-serv</w:t>
      </w:r>
      <w:r>
        <w:t>ing cell. Besides, for the bandwidth included in the MII, it was proposed to be either the cell bandwidth or the CFR bandwidth of the non-serving cell. However, it should be noted that when the UE camps on a cell, the UE only needs to support a bandwidth w</w:t>
      </w:r>
      <w:r>
        <w:t>hich is larger than initial BWP and smaller than or equal to the cell bandwidth, according to the current RRC spec:</w:t>
      </w:r>
    </w:p>
    <w:tbl>
      <w:tblPr>
        <w:tblStyle w:val="ab"/>
        <w:tblW w:w="9629" w:type="dxa"/>
        <w:tblLayout w:type="fixed"/>
        <w:tblLook w:val="04A0" w:firstRow="1" w:lastRow="0" w:firstColumn="1" w:lastColumn="0" w:noHBand="0" w:noVBand="1"/>
      </w:tblPr>
      <w:tblGrid>
        <w:gridCol w:w="9629"/>
      </w:tblGrid>
      <w:tr w:rsidR="000E6485" w14:paraId="5608F02F" w14:textId="77777777">
        <w:tc>
          <w:tcPr>
            <w:tcW w:w="9629" w:type="dxa"/>
          </w:tcPr>
          <w:p w14:paraId="09529A9A" w14:textId="77777777" w:rsidR="000E6485" w:rsidRDefault="00493336">
            <w:pPr>
              <w:pStyle w:val="B2"/>
              <w:spacing w:after="0"/>
              <w:rPr>
                <w:rFonts w:ascii="Times New Roman" w:hAnsi="Times New Roman" w:cs="Times New Roman"/>
              </w:rPr>
            </w:pPr>
            <w:r>
              <w:rPr>
                <w:rFonts w:ascii="Times New Roman" w:hAnsi="Times New Roman" w:cs="Times New Roman"/>
              </w:rPr>
              <w:t>2&gt;</w:t>
            </w:r>
            <w:r>
              <w:rPr>
                <w:rFonts w:ascii="Times New Roman" w:hAnsi="Times New Roman" w:cs="Times New Roman"/>
              </w:rPr>
              <w:tab/>
              <w:t>if the UE supports a downlink channel bandwidth with a maximum transmission bandwidth configuration (see TS 38.101-1 [15] and TS 38.101-2</w:t>
            </w:r>
            <w:r>
              <w:rPr>
                <w:rFonts w:ascii="Times New Roman" w:hAnsi="Times New Roman" w:cs="Times New Roman"/>
              </w:rPr>
              <w:t xml:space="preserve"> [39]) which</w:t>
            </w:r>
          </w:p>
          <w:p w14:paraId="4101C962" w14:textId="77777777" w:rsidR="000E6485" w:rsidRDefault="00493336">
            <w:pPr>
              <w:pStyle w:val="B3"/>
              <w:spacing w:after="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highlight w:val="yellow"/>
              </w:rPr>
              <w:t xml:space="preserve">is smaller than or equal to the </w:t>
            </w:r>
            <w:r>
              <w:rPr>
                <w:rFonts w:ascii="Times New Roman" w:hAnsi="Times New Roman" w:cs="Times New Roman"/>
                <w:i/>
                <w:highlight w:val="yellow"/>
              </w:rPr>
              <w:t>carrierBandwidth</w:t>
            </w:r>
            <w:r>
              <w:rPr>
                <w:rFonts w:ascii="Times New Roman" w:hAnsi="Times New Roman" w:cs="Times New Roman"/>
                <w:highlight w:val="yellow"/>
              </w:rPr>
              <w:t xml:space="preserve"> (indicated in </w:t>
            </w:r>
            <w:r>
              <w:rPr>
                <w:rFonts w:ascii="Times New Roman" w:hAnsi="Times New Roman" w:cs="Times New Roman"/>
                <w:i/>
                <w:highlight w:val="yellow"/>
              </w:rPr>
              <w:t>downlinkConfigCommon</w:t>
            </w:r>
            <w:r>
              <w:rPr>
                <w:rFonts w:ascii="Times New Roman" w:hAnsi="Times New Roman" w:cs="Times New Roman"/>
                <w:highlight w:val="yellow"/>
              </w:rPr>
              <w:t xml:space="preserve"> for the SCS of the initial downlink BWP</w:t>
            </w:r>
            <w:r>
              <w:rPr>
                <w:rFonts w:ascii="Times New Roman" w:hAnsi="Times New Roman" w:cs="Times New Roman"/>
              </w:rPr>
              <w:t xml:space="preserve"> or, for RedCap UE, of the RedCap-specific initial downlink BWP if configured), and which</w:t>
            </w:r>
          </w:p>
          <w:p w14:paraId="7C977A5B" w14:textId="77777777" w:rsidR="000E6485" w:rsidRDefault="00493336">
            <w:pPr>
              <w:pStyle w:val="B3"/>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ab/>
              <w:t xml:space="preserve">is wider than or equal to </w:t>
            </w:r>
            <w:r>
              <w:rPr>
                <w:rFonts w:ascii="Times New Roman" w:hAnsi="Times New Roman" w:cs="Times New Roman"/>
              </w:rPr>
              <w:t>the bandwidth of the initial downlink BWP or, for RedCap UE, of the RedCap-specific initial downlink BWP if configured, and</w:t>
            </w:r>
          </w:p>
          <w:p w14:paraId="5A3DF961" w14:textId="77777777" w:rsidR="000E6485" w:rsidRDefault="00493336">
            <w:pPr>
              <w:pStyle w:val="B3"/>
              <w:rPr>
                <w:rFonts w:ascii="Times New Roman" w:hAnsi="Times New Roman" w:cs="Times New Roman"/>
              </w:rPr>
            </w:pPr>
            <w:r>
              <w:rPr>
                <w:rFonts w:ascii="Times New Roman" w:hAnsi="Times New Roman" w:cs="Times New Roman"/>
              </w:rPr>
              <w:t>……</w:t>
            </w:r>
          </w:p>
          <w:p w14:paraId="1694F60D" w14:textId="77777777" w:rsidR="000E6485" w:rsidRDefault="00493336">
            <w:pPr>
              <w:pStyle w:val="B4"/>
              <w:ind w:left="1600" w:hanging="400"/>
              <w:rPr>
                <w:rFonts w:ascii="CG Times (WN)" w:hAnsi="CG Times (WN)"/>
              </w:rPr>
            </w:pPr>
            <w:r>
              <w:rPr>
                <w:rFonts w:ascii="CG Times (WN)" w:hAnsi="CG Times (WN)"/>
              </w:rPr>
              <w:t>4&gt;</w:t>
            </w:r>
            <w:r>
              <w:rPr>
                <w:rFonts w:ascii="CG Times (WN)" w:hAnsi="CG Times (WN)"/>
              </w:rPr>
              <w:tab/>
              <w:t>apply a supported downlink channel bandwidth with a maximum transmission bandwidth which</w:t>
            </w:r>
          </w:p>
          <w:p w14:paraId="6BB01534" w14:textId="77777777" w:rsidR="000E6485" w:rsidRDefault="00493336">
            <w:pPr>
              <w:pStyle w:val="B5"/>
              <w:ind w:left="2000" w:hanging="400"/>
              <w:rPr>
                <w:rFonts w:ascii="CG Times (WN)" w:hAnsi="CG Times (WN)"/>
              </w:rPr>
            </w:pPr>
            <w:r>
              <w:rPr>
                <w:rFonts w:ascii="CG Times (WN)" w:hAnsi="CG Times (WN)"/>
              </w:rPr>
              <w:t xml:space="preserve">- is contained within the </w:t>
            </w:r>
            <w:r>
              <w:rPr>
                <w:rFonts w:ascii="CG Times (WN)" w:hAnsi="CG Times (WN)"/>
                <w:i/>
              </w:rPr>
              <w:t>carrierBand</w:t>
            </w:r>
            <w:r>
              <w:rPr>
                <w:rFonts w:ascii="CG Times (WN)" w:hAnsi="CG Times (WN)"/>
                <w:i/>
              </w:rPr>
              <w:t>width</w:t>
            </w:r>
            <w:r>
              <w:rPr>
                <w:rFonts w:ascii="CG Times (WN)" w:hAnsi="CG Times (WN)"/>
              </w:rPr>
              <w:t xml:space="preserve"> indicated in </w:t>
            </w:r>
            <w:r>
              <w:rPr>
                <w:rFonts w:ascii="CG Times (WN)" w:hAnsi="CG Times (WN)"/>
                <w:i/>
              </w:rPr>
              <w:t>downlinkConfigCommon</w:t>
            </w:r>
            <w:r>
              <w:rPr>
                <w:rFonts w:ascii="CG Times (WN)" w:hAnsi="CG Times (WN)"/>
              </w:rPr>
              <w:t xml:space="preserve"> for the SCS of the initial downlink BWP or, for RedCap UEs, RedCap-specific initial downlink BWP, if configured, and which</w:t>
            </w:r>
          </w:p>
          <w:p w14:paraId="5D2A6CD7" w14:textId="77777777" w:rsidR="000E6485" w:rsidRDefault="00493336">
            <w:pPr>
              <w:pStyle w:val="B5"/>
              <w:ind w:left="2000" w:hanging="400"/>
              <w:rPr>
                <w:rFonts w:ascii="CG Times (WN)" w:hAnsi="CG Times (WN)"/>
              </w:rPr>
            </w:pPr>
            <w:r>
              <w:rPr>
                <w:rFonts w:ascii="CG Times (WN)" w:hAnsi="CG Times (WN)"/>
              </w:rPr>
              <w:t xml:space="preserve">- is wider than or equal to the bandwidth of the initial BWP for the downlink or, for a </w:t>
            </w:r>
            <w:r>
              <w:rPr>
                <w:rFonts w:ascii="CG Times (WN)" w:hAnsi="CG Times (WN)"/>
              </w:rPr>
              <w:t>RedCap UE, of the RedCap-specific initial downlink BWP if configured;</w:t>
            </w:r>
          </w:p>
          <w:p w14:paraId="3F9E652C" w14:textId="77777777" w:rsidR="000E6485" w:rsidRDefault="00493336">
            <w:pPr>
              <w:pStyle w:val="B4"/>
              <w:ind w:left="1600" w:hanging="400"/>
              <w:rPr>
                <w:rFonts w:ascii="CG Times (WN)" w:hAnsi="CG Times (WN)"/>
              </w:rPr>
            </w:pPr>
            <w:r>
              <w:rPr>
                <w:rFonts w:ascii="CG Times (WN)" w:hAnsi="CG Times (WN)"/>
              </w:rPr>
              <w:t>4&gt;</w:t>
            </w:r>
            <w:r>
              <w:rPr>
                <w:rFonts w:ascii="CG Times (WN)" w:hAnsi="CG Times (WN)"/>
              </w:rPr>
              <w:tab/>
              <w:t xml:space="preserve">select the first frequency band in the </w:t>
            </w:r>
            <w:r>
              <w:rPr>
                <w:rFonts w:ascii="CG Times (WN)" w:hAnsi="CG Times (WN)"/>
                <w:i/>
              </w:rPr>
              <w:t>frequencyBandList</w:t>
            </w:r>
            <w:r>
              <w:rPr>
                <w:rFonts w:ascii="CG Times (WN)" w:hAnsi="CG Times (WN)"/>
              </w:rPr>
              <w:t xml:space="preserve">, for FDD from </w:t>
            </w:r>
            <w:r>
              <w:rPr>
                <w:rFonts w:ascii="CG Times (WN)" w:hAnsi="CG Times (WN)"/>
                <w:i/>
              </w:rPr>
              <w:t>frequencyBandList</w:t>
            </w:r>
            <w:r>
              <w:rPr>
                <w:rFonts w:ascii="CG Times (WN)" w:hAnsi="CG Times (WN)"/>
              </w:rPr>
              <w:t xml:space="preserve"> for uplink, or for TDD from </w:t>
            </w:r>
            <w:r>
              <w:rPr>
                <w:rFonts w:ascii="CG Times (WN)" w:hAnsi="CG Times (WN)"/>
                <w:i/>
              </w:rPr>
              <w:t xml:space="preserve">frequencyBandList </w:t>
            </w:r>
            <w:r>
              <w:rPr>
                <w:rFonts w:ascii="CG Times (WN)" w:hAnsi="CG Times (WN)"/>
              </w:rPr>
              <w:t>for downlink,</w:t>
            </w:r>
            <w:r>
              <w:rPr>
                <w:rFonts w:ascii="CG Times (WN)" w:hAnsi="CG Times (WN)"/>
                <w:i/>
              </w:rPr>
              <w:t xml:space="preserve"> </w:t>
            </w:r>
            <w:r>
              <w:rPr>
                <w:rFonts w:ascii="CG Times (WN)" w:hAnsi="CG Times (WN)"/>
              </w:rPr>
              <w:t>which the UE supports and for whic</w:t>
            </w:r>
            <w:r>
              <w:rPr>
                <w:rFonts w:ascii="CG Times (WN)" w:hAnsi="CG Times (WN)"/>
              </w:rPr>
              <w:t xml:space="preserve">h the UE supports at least one of the </w:t>
            </w:r>
            <w:r>
              <w:rPr>
                <w:rFonts w:ascii="CG Times (WN)" w:hAnsi="CG Times (WN)"/>
                <w:i/>
              </w:rPr>
              <w:t>additionalSpectrumEmission</w:t>
            </w:r>
            <w:r>
              <w:rPr>
                <w:rFonts w:ascii="CG Times (WN)" w:hAnsi="CG Times (WN)"/>
              </w:rPr>
              <w:t xml:space="preserve"> values in</w:t>
            </w:r>
            <w:r>
              <w:rPr>
                <w:rFonts w:ascii="CG Times (WN)" w:hAnsi="CG Times (WN)"/>
                <w:i/>
              </w:rPr>
              <w:t xml:space="preserve"> nr-NS-PmaxList</w:t>
            </w:r>
            <w:r>
              <w:rPr>
                <w:rFonts w:ascii="CG Times (WN)" w:hAnsi="CG Times (WN)"/>
              </w:rPr>
              <w:t>, if present;</w:t>
            </w:r>
          </w:p>
          <w:p w14:paraId="3A9C267F" w14:textId="77777777" w:rsidR="000E6485" w:rsidRDefault="00493336">
            <w:pPr>
              <w:pStyle w:val="a9"/>
              <w:overflowPunct w:val="0"/>
              <w:autoSpaceDE w:val="0"/>
              <w:autoSpaceDN w:val="0"/>
              <w:adjustRightInd w:val="0"/>
              <w:spacing w:before="0" w:beforeAutospacing="0" w:after="180" w:afterAutospacing="0"/>
              <w:ind w:left="1418" w:hanging="284"/>
              <w:rPr>
                <w:rFonts w:ascii="CG Times (WN)" w:hAnsi="CG Times (WN)" w:hint="eastAsia"/>
                <w:lang w:val="en-US"/>
              </w:rPr>
            </w:pPr>
            <w:r>
              <w:rPr>
                <w:rFonts w:ascii="CG Times (WN)" w:eastAsia="Times New Roman" w:hAnsi="CG Times (WN)"/>
                <w:sz w:val="20"/>
                <w:szCs w:val="20"/>
                <w:lang w:val="en-US" w:bidi="ar"/>
              </w:rPr>
              <w:t>4&gt;</w:t>
            </w:r>
            <w:r>
              <w:rPr>
                <w:rFonts w:ascii="CG Times (WN)" w:eastAsia="Times New Roman" w:hAnsi="CG Times (WN)"/>
                <w:sz w:val="20"/>
                <w:szCs w:val="20"/>
                <w:lang w:val="en-US" w:bidi="ar"/>
              </w:rPr>
              <w:tab/>
              <w:t xml:space="preserve">forward the </w:t>
            </w:r>
            <w:r>
              <w:rPr>
                <w:rFonts w:ascii="CG Times (WN)" w:eastAsia="Times New Roman" w:hAnsi="CG Times (WN)"/>
                <w:i/>
                <w:sz w:val="20"/>
                <w:szCs w:val="20"/>
                <w:lang w:val="en-US" w:bidi="ar"/>
              </w:rPr>
              <w:t>cellIdentity</w:t>
            </w:r>
            <w:r>
              <w:rPr>
                <w:rFonts w:ascii="CG Times (WN)" w:eastAsia="Times New Roman" w:hAnsi="CG Times (WN)"/>
                <w:sz w:val="20"/>
                <w:szCs w:val="20"/>
                <w:lang w:val="en-US" w:bidi="ar"/>
              </w:rPr>
              <w:t xml:space="preserve"> to upper layers;</w:t>
            </w:r>
          </w:p>
          <w:p w14:paraId="137DA3FE" w14:textId="77777777" w:rsidR="000E6485" w:rsidRDefault="00493336">
            <w:pPr>
              <w:pStyle w:val="B3"/>
              <w:rPr>
                <w:rFonts w:ascii="Times New Roman" w:hAnsi="Times New Roman" w:cs="Times New Roman"/>
              </w:rPr>
            </w:pPr>
            <w:r>
              <w:rPr>
                <w:rFonts w:ascii="Times New Roman" w:hAnsi="Times New Roman" w:cs="Times New Roman"/>
              </w:rPr>
              <w:t>……</w:t>
            </w:r>
          </w:p>
        </w:tc>
      </w:tr>
    </w:tbl>
    <w:p w14:paraId="2FF31BA8" w14:textId="77777777" w:rsidR="000E6485" w:rsidRDefault="00493336">
      <w:pPr>
        <w:spacing w:beforeLines="50" w:before="120"/>
      </w:pPr>
      <w:r>
        <w:lastRenderedPageBreak/>
        <w:t>Based on the 38.331 text, it is clear that the channel bandwidth the UE actually uses may NOT be the ban</w:t>
      </w:r>
      <w:r>
        <w:t>dwidth of initial BWP or CFR. In MBS scenario, the serving gNB should decide the available unicast capability based on the bandwidth the UE actually uses for broadcast reception in non-serving cell. For example, the CFR configured by the non-serving cell f</w:t>
      </w:r>
      <w:r>
        <w:t>or broadcast reception is 30MH</w:t>
      </w:r>
      <w:r>
        <w:rPr>
          <w:rFonts w:hint="eastAsia"/>
        </w:rPr>
        <w:t>z,</w:t>
      </w:r>
      <w:r>
        <w:t xml:space="preserve"> but the UE may actually use 40MHz channel bandwidth to receive broadcast if 30MHz is not supported by the UE. </w:t>
      </w:r>
    </w:p>
    <w:p w14:paraId="1C78DB0B" w14:textId="77777777" w:rsidR="000E6485" w:rsidRDefault="00493336">
      <w:pPr>
        <w:spacing w:beforeLines="50" w:before="120"/>
        <w:rPr>
          <w:b/>
          <w:i/>
        </w:rPr>
      </w:pPr>
      <w:r>
        <w:rPr>
          <w:b/>
        </w:rPr>
        <w:t>Observation 2: When the UE camps on a cell, the actual channel bandwidth used by the UE may NOT be the bandwidth</w:t>
      </w:r>
      <w:r>
        <w:rPr>
          <w:b/>
        </w:rPr>
        <w:t xml:space="preserve"> of initial BWP or CFR.</w:t>
      </w:r>
    </w:p>
    <w:p w14:paraId="6377F4C2" w14:textId="77777777" w:rsidR="000E6485" w:rsidRDefault="00493336">
      <w:pPr>
        <w:rPr>
          <w:i/>
        </w:rPr>
      </w:pPr>
      <w:r>
        <w:t>We understand the channel bandwidth reported in the MII should be aligned with the signalled bandwidth capability in UE capability information. This bandwidth can give the serving gNB more precise information about how much processi</w:t>
      </w:r>
      <w:r>
        <w:t>ng capability can be left to unicast/multicast scheduling, with less implementation complexity. In our view, when the UE performs broadcast reception from the non-serving cell, the indicated bandwidth in the MII should be the channel bandwidth actually use</w:t>
      </w:r>
      <w:r>
        <w:t xml:space="preserve">d by the UE, which covers the broadcast CFR bandwidth but can be smaller than the carrier bandwidth of the non-serving cell. </w:t>
      </w:r>
    </w:p>
    <w:p w14:paraId="0BF5A66C" w14:textId="77777777" w:rsidR="000E6485" w:rsidRDefault="00493336">
      <w:pPr>
        <w:rPr>
          <w:b/>
        </w:rPr>
      </w:pPr>
      <w:r>
        <w:rPr>
          <w:b/>
        </w:rPr>
        <w:t>Proposal 3: The SCS indicated in the MII is the SCS of the initial BWP of the non-serving cell where the UE intends to receive MBS</w:t>
      </w:r>
      <w:r>
        <w:rPr>
          <w:b/>
        </w:rPr>
        <w:t xml:space="preserve"> broadcast.</w:t>
      </w:r>
    </w:p>
    <w:p w14:paraId="69FE3EF2" w14:textId="77777777" w:rsidR="000E6485" w:rsidRDefault="00493336">
      <w:pPr>
        <w:rPr>
          <w:b/>
        </w:rPr>
      </w:pPr>
      <w:r>
        <w:rPr>
          <w:b/>
        </w:rPr>
        <w:t>Proposal 4: The bandwidth indicated in the MII is the channel bandwidth used by the UE for broadcast reception in the non-serving cell, which covers the CFR bandwidth.</w:t>
      </w:r>
    </w:p>
    <w:p w14:paraId="59C1AF37" w14:textId="77777777" w:rsidR="000E6485" w:rsidRDefault="00493336">
      <w:pPr>
        <w:pStyle w:val="1"/>
        <w:rPr>
          <w:rFonts w:eastAsia="Malgun Gothic"/>
        </w:rPr>
      </w:pPr>
      <w:r>
        <w:rPr>
          <w:rFonts w:eastAsia="Malgun Gothic"/>
        </w:rPr>
        <w:t>Conclusion</w:t>
      </w:r>
    </w:p>
    <w:p w14:paraId="1ED7E5AF" w14:textId="77777777" w:rsidR="000E6485" w:rsidRDefault="00493336">
      <w:pPr>
        <w:pStyle w:val="a5"/>
        <w:rPr>
          <w:rFonts w:eastAsiaTheme="minorEastAsia"/>
        </w:rPr>
      </w:pPr>
      <w:r>
        <w:t>In this contribution, we provide the following proposals:</w:t>
      </w:r>
    </w:p>
    <w:p w14:paraId="5B93258B" w14:textId="77777777" w:rsidR="000E6485" w:rsidRDefault="00493336">
      <w:pPr>
        <w:pStyle w:val="a5"/>
        <w:rPr>
          <w:i/>
          <w:u w:val="single"/>
        </w:rPr>
      </w:pPr>
      <w:r>
        <w:rPr>
          <w:rFonts w:hint="eastAsia"/>
          <w:i/>
          <w:u w:val="single"/>
        </w:rPr>
        <w:t>M</w:t>
      </w:r>
      <w:r>
        <w:rPr>
          <w:i/>
          <w:u w:val="single"/>
        </w:rPr>
        <w:t xml:space="preserve">II </w:t>
      </w:r>
      <w:r>
        <w:rPr>
          <w:i/>
          <w:u w:val="single"/>
        </w:rPr>
        <w:t>reporting procedure</w:t>
      </w:r>
    </w:p>
    <w:p w14:paraId="37141D76" w14:textId="77777777" w:rsidR="000E6485" w:rsidRDefault="00493336">
      <w:pPr>
        <w:rPr>
          <w:b/>
        </w:rPr>
      </w:pPr>
      <w:r>
        <w:rPr>
          <w:rFonts w:hint="eastAsia"/>
          <w:b/>
        </w:rPr>
        <w:t>O</w:t>
      </w:r>
      <w:r>
        <w:rPr>
          <w:b/>
        </w:rPr>
        <w:t>bservation 1: It is possible that the UE cannot read the SIB1 from the non-serving cell so that the SCS/bandwidth from the non-serving cell is not available at the UE.</w:t>
      </w:r>
    </w:p>
    <w:p w14:paraId="3A0D4E22" w14:textId="77777777" w:rsidR="000E6485" w:rsidRDefault="00493336">
      <w:pPr>
        <w:rPr>
          <w:b/>
        </w:rPr>
      </w:pPr>
      <w:r>
        <w:rPr>
          <w:b/>
        </w:rPr>
        <w:t>Proposal 1</w:t>
      </w:r>
      <w:r>
        <w:rPr>
          <w:b/>
        </w:rPr>
        <w:t>：</w:t>
      </w:r>
      <w:r>
        <w:rPr>
          <w:rFonts w:hint="eastAsia"/>
          <w:b/>
        </w:rPr>
        <w:t>W</w:t>
      </w:r>
      <w:r>
        <w:rPr>
          <w:b/>
        </w:rPr>
        <w:t>hen SCS/</w:t>
      </w:r>
      <w:r>
        <w:rPr>
          <w:rFonts w:hint="eastAsia"/>
          <w:b/>
        </w:rPr>
        <w:t>ban</w:t>
      </w:r>
      <w:r>
        <w:rPr>
          <w:b/>
        </w:rPr>
        <w:t>dwidth of the non-serving cell is not available (i.e. the UE is not able to acquire it from the non-serving cell), only frequency information is reported in the MII.</w:t>
      </w:r>
      <w:r>
        <w:rPr>
          <w:b/>
        </w:rPr>
        <w:t xml:space="preserve"> The whole information is reported once available.</w:t>
      </w:r>
    </w:p>
    <w:p w14:paraId="306875AF" w14:textId="77777777" w:rsidR="000E6485" w:rsidRDefault="00493336">
      <w:pPr>
        <w:rPr>
          <w:b/>
        </w:rPr>
      </w:pPr>
      <w:r>
        <w:rPr>
          <w:b/>
        </w:rPr>
        <w:t>Proposal 2: No special handling is needed on MII reporting when the non-serving cell updates the configuration.</w:t>
      </w:r>
    </w:p>
    <w:p w14:paraId="327796F6" w14:textId="77777777" w:rsidR="000E6485" w:rsidRDefault="00493336">
      <w:pPr>
        <w:pStyle w:val="a5"/>
        <w:rPr>
          <w:i/>
          <w:u w:val="single"/>
        </w:rPr>
      </w:pPr>
      <w:r>
        <w:rPr>
          <w:rFonts w:hint="eastAsia"/>
          <w:i/>
          <w:u w:val="single"/>
        </w:rPr>
        <w:t>M</w:t>
      </w:r>
      <w:r>
        <w:rPr>
          <w:i/>
          <w:u w:val="single"/>
        </w:rPr>
        <w:t>II content</w:t>
      </w:r>
    </w:p>
    <w:p w14:paraId="30E733C9" w14:textId="77777777" w:rsidR="000E6485" w:rsidRDefault="00493336">
      <w:pPr>
        <w:spacing w:beforeLines="50" w:before="120"/>
        <w:rPr>
          <w:b/>
        </w:rPr>
      </w:pPr>
      <w:r>
        <w:rPr>
          <w:b/>
        </w:rPr>
        <w:t>Observation 2: When the UE camps on a cell, the actual channel</w:t>
      </w:r>
      <w:r>
        <w:rPr>
          <w:b/>
        </w:rPr>
        <w:t xml:space="preserve"> bandwidth used by the UE may NOT be the bandwidth of initial BWP or CFR.</w:t>
      </w:r>
    </w:p>
    <w:p w14:paraId="30BA6662" w14:textId="77777777" w:rsidR="000E6485" w:rsidRDefault="00493336">
      <w:pPr>
        <w:rPr>
          <w:b/>
        </w:rPr>
      </w:pPr>
      <w:r>
        <w:rPr>
          <w:b/>
        </w:rPr>
        <w:lastRenderedPageBreak/>
        <w:t>Proposal 3: The SCS indicated in the MII is the SCS of the initial BWP of the non-serving cell where the UE intends to receive MBS broadcast.</w:t>
      </w:r>
    </w:p>
    <w:p w14:paraId="79F69890" w14:textId="77777777" w:rsidR="000E6485" w:rsidRDefault="00493336">
      <w:pPr>
        <w:rPr>
          <w:b/>
        </w:rPr>
      </w:pPr>
      <w:r>
        <w:rPr>
          <w:b/>
        </w:rPr>
        <w:t>Proposal 4: The bandwidth indicated in t</w:t>
      </w:r>
      <w:r>
        <w:rPr>
          <w:b/>
        </w:rPr>
        <w:t>he MII is the channel bandwidth used by the UE for broadcast reception in the non-serving cell, which covers the CFR bandwidth.</w:t>
      </w:r>
    </w:p>
    <w:p w14:paraId="0447B9C9" w14:textId="77777777" w:rsidR="000E6485" w:rsidRDefault="00493336">
      <w:pPr>
        <w:pStyle w:val="1"/>
        <w:rPr>
          <w:rFonts w:eastAsia="Malgun Gothic"/>
        </w:rPr>
      </w:pPr>
      <w:r>
        <w:rPr>
          <w:rFonts w:eastAsia="Malgun Gothic"/>
        </w:rPr>
        <w:t>References</w:t>
      </w:r>
    </w:p>
    <w:p w14:paraId="4EAF1608" w14:textId="77777777" w:rsidR="000E6485" w:rsidRDefault="00493336">
      <w:r>
        <w:t>[1] RAN2#122 chairman’s note.</w:t>
      </w:r>
    </w:p>
    <w:p w14:paraId="2DED0BB9" w14:textId="77777777" w:rsidR="000E6485" w:rsidRDefault="00493336">
      <w:r>
        <w:t>[2] R2-2304821, Discussion on shared processing for MBS broadcast and unicast reception</w:t>
      </w:r>
      <w:r>
        <w:t>, Huawei, HiSilicon.</w:t>
      </w:r>
    </w:p>
    <w:p w14:paraId="79E77160" w14:textId="77777777" w:rsidR="000E6485" w:rsidRDefault="000E6485"/>
    <w:sectPr w:rsidR="000E648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B4D23" w14:textId="77777777" w:rsidR="00493336" w:rsidRDefault="00493336" w:rsidP="00951843">
      <w:pPr>
        <w:spacing w:after="0"/>
      </w:pPr>
      <w:r>
        <w:separator/>
      </w:r>
    </w:p>
  </w:endnote>
  <w:endnote w:type="continuationSeparator" w:id="0">
    <w:p w14:paraId="5155B61C" w14:textId="77777777" w:rsidR="00493336" w:rsidRDefault="00493336" w:rsidP="009518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A7099" w14:textId="77777777" w:rsidR="00493336" w:rsidRDefault="00493336" w:rsidP="00951843">
      <w:pPr>
        <w:spacing w:after="0"/>
      </w:pPr>
      <w:r>
        <w:separator/>
      </w:r>
    </w:p>
  </w:footnote>
  <w:footnote w:type="continuationSeparator" w:id="0">
    <w:p w14:paraId="36D0D55E" w14:textId="77777777" w:rsidR="00493336" w:rsidRDefault="00493336" w:rsidP="009518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lang w:val="en-US"/>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CF4"/>
    <w:rsid w:val="B5371345"/>
    <w:rsid w:val="BFDD1106"/>
    <w:rsid w:val="CCF77372"/>
    <w:rsid w:val="D5FD4409"/>
    <w:rsid w:val="DCEB0B87"/>
    <w:rsid w:val="EDFE377D"/>
    <w:rsid w:val="F56D5265"/>
    <w:rsid w:val="F6BDF918"/>
    <w:rsid w:val="F75BC6B6"/>
    <w:rsid w:val="F7BF0C28"/>
    <w:rsid w:val="00001195"/>
    <w:rsid w:val="00003982"/>
    <w:rsid w:val="00004D31"/>
    <w:rsid w:val="0000500F"/>
    <w:rsid w:val="00006CFC"/>
    <w:rsid w:val="00007F8B"/>
    <w:rsid w:val="00012B7D"/>
    <w:rsid w:val="00013F9F"/>
    <w:rsid w:val="0002556D"/>
    <w:rsid w:val="00026549"/>
    <w:rsid w:val="00026790"/>
    <w:rsid w:val="000272C0"/>
    <w:rsid w:val="0002783C"/>
    <w:rsid w:val="000321F3"/>
    <w:rsid w:val="000325A9"/>
    <w:rsid w:val="000363CC"/>
    <w:rsid w:val="00036520"/>
    <w:rsid w:val="000369A7"/>
    <w:rsid w:val="0004047A"/>
    <w:rsid w:val="00041DB9"/>
    <w:rsid w:val="000449D8"/>
    <w:rsid w:val="00045CC4"/>
    <w:rsid w:val="00046906"/>
    <w:rsid w:val="000470D1"/>
    <w:rsid w:val="00052E72"/>
    <w:rsid w:val="00053048"/>
    <w:rsid w:val="000555E4"/>
    <w:rsid w:val="000556B6"/>
    <w:rsid w:val="00056BFC"/>
    <w:rsid w:val="0006138F"/>
    <w:rsid w:val="000701A7"/>
    <w:rsid w:val="000717D6"/>
    <w:rsid w:val="00072099"/>
    <w:rsid w:val="00081B22"/>
    <w:rsid w:val="00091235"/>
    <w:rsid w:val="000942D7"/>
    <w:rsid w:val="000967F0"/>
    <w:rsid w:val="000A399E"/>
    <w:rsid w:val="000A4435"/>
    <w:rsid w:val="000A4594"/>
    <w:rsid w:val="000B1DB1"/>
    <w:rsid w:val="000C32ED"/>
    <w:rsid w:val="000D2989"/>
    <w:rsid w:val="000D2DFD"/>
    <w:rsid w:val="000D52BD"/>
    <w:rsid w:val="000E1C56"/>
    <w:rsid w:val="000E4ACE"/>
    <w:rsid w:val="000E6361"/>
    <w:rsid w:val="000E6485"/>
    <w:rsid w:val="000F1159"/>
    <w:rsid w:val="000F13EC"/>
    <w:rsid w:val="000F6961"/>
    <w:rsid w:val="00100DEA"/>
    <w:rsid w:val="00102130"/>
    <w:rsid w:val="00102594"/>
    <w:rsid w:val="00104C22"/>
    <w:rsid w:val="00104DA6"/>
    <w:rsid w:val="001057CC"/>
    <w:rsid w:val="00110A47"/>
    <w:rsid w:val="001148F9"/>
    <w:rsid w:val="0011611A"/>
    <w:rsid w:val="001216EB"/>
    <w:rsid w:val="00123340"/>
    <w:rsid w:val="0012374B"/>
    <w:rsid w:val="00124864"/>
    <w:rsid w:val="00125782"/>
    <w:rsid w:val="00126FB0"/>
    <w:rsid w:val="00132EFF"/>
    <w:rsid w:val="00133266"/>
    <w:rsid w:val="001347BB"/>
    <w:rsid w:val="00136511"/>
    <w:rsid w:val="00136A26"/>
    <w:rsid w:val="001405B1"/>
    <w:rsid w:val="0014567B"/>
    <w:rsid w:val="00146CE0"/>
    <w:rsid w:val="00150962"/>
    <w:rsid w:val="00156C66"/>
    <w:rsid w:val="0016219F"/>
    <w:rsid w:val="001629E6"/>
    <w:rsid w:val="00166918"/>
    <w:rsid w:val="00167D75"/>
    <w:rsid w:val="00171DC6"/>
    <w:rsid w:val="00176930"/>
    <w:rsid w:val="00180D3D"/>
    <w:rsid w:val="001826D0"/>
    <w:rsid w:val="00183E54"/>
    <w:rsid w:val="00187C44"/>
    <w:rsid w:val="00190E6E"/>
    <w:rsid w:val="00192316"/>
    <w:rsid w:val="00193050"/>
    <w:rsid w:val="0019776D"/>
    <w:rsid w:val="001A0433"/>
    <w:rsid w:val="001A2425"/>
    <w:rsid w:val="001A242D"/>
    <w:rsid w:val="001B5DF8"/>
    <w:rsid w:val="001B740C"/>
    <w:rsid w:val="001C0C92"/>
    <w:rsid w:val="001C5B49"/>
    <w:rsid w:val="001E20B1"/>
    <w:rsid w:val="001E6DA7"/>
    <w:rsid w:val="001E787D"/>
    <w:rsid w:val="001E7E8B"/>
    <w:rsid w:val="001F6BE3"/>
    <w:rsid w:val="001F7FE7"/>
    <w:rsid w:val="00204B1B"/>
    <w:rsid w:val="002057CA"/>
    <w:rsid w:val="00205C5F"/>
    <w:rsid w:val="002075D4"/>
    <w:rsid w:val="0021754B"/>
    <w:rsid w:val="00221DB9"/>
    <w:rsid w:val="00222933"/>
    <w:rsid w:val="00223488"/>
    <w:rsid w:val="00227265"/>
    <w:rsid w:val="00227A83"/>
    <w:rsid w:val="002303CB"/>
    <w:rsid w:val="00231DE7"/>
    <w:rsid w:val="00240FF8"/>
    <w:rsid w:val="002433BB"/>
    <w:rsid w:val="00245905"/>
    <w:rsid w:val="00247E48"/>
    <w:rsid w:val="00250756"/>
    <w:rsid w:val="00250CAA"/>
    <w:rsid w:val="00254343"/>
    <w:rsid w:val="00257035"/>
    <w:rsid w:val="0026092A"/>
    <w:rsid w:val="00262BD5"/>
    <w:rsid w:val="00264160"/>
    <w:rsid w:val="00267128"/>
    <w:rsid w:val="002674AF"/>
    <w:rsid w:val="002733FE"/>
    <w:rsid w:val="0027463C"/>
    <w:rsid w:val="00293FBF"/>
    <w:rsid w:val="002A57BC"/>
    <w:rsid w:val="002A7EB8"/>
    <w:rsid w:val="002B10A7"/>
    <w:rsid w:val="002B4B5B"/>
    <w:rsid w:val="002C00EF"/>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5325"/>
    <w:rsid w:val="00305B00"/>
    <w:rsid w:val="00305E17"/>
    <w:rsid w:val="00312AD1"/>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66C4"/>
    <w:rsid w:val="003726E7"/>
    <w:rsid w:val="00372A60"/>
    <w:rsid w:val="00373BA7"/>
    <w:rsid w:val="0037579A"/>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47F9"/>
    <w:rsid w:val="003C0902"/>
    <w:rsid w:val="003C2A89"/>
    <w:rsid w:val="003D0552"/>
    <w:rsid w:val="003D1040"/>
    <w:rsid w:val="003D1D3B"/>
    <w:rsid w:val="003D3350"/>
    <w:rsid w:val="003E3040"/>
    <w:rsid w:val="003E51A4"/>
    <w:rsid w:val="003E538B"/>
    <w:rsid w:val="003E7EDB"/>
    <w:rsid w:val="003F19BA"/>
    <w:rsid w:val="003F2ED0"/>
    <w:rsid w:val="003F36DC"/>
    <w:rsid w:val="003F3CED"/>
    <w:rsid w:val="00401397"/>
    <w:rsid w:val="00404494"/>
    <w:rsid w:val="00406DB7"/>
    <w:rsid w:val="004120DC"/>
    <w:rsid w:val="00415529"/>
    <w:rsid w:val="00417F94"/>
    <w:rsid w:val="00421FBF"/>
    <w:rsid w:val="00422F26"/>
    <w:rsid w:val="00431C82"/>
    <w:rsid w:val="004333C6"/>
    <w:rsid w:val="0043558C"/>
    <w:rsid w:val="00437191"/>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3336"/>
    <w:rsid w:val="0049409E"/>
    <w:rsid w:val="004A04AD"/>
    <w:rsid w:val="004A5DFC"/>
    <w:rsid w:val="004A79F0"/>
    <w:rsid w:val="004B03AD"/>
    <w:rsid w:val="004B085A"/>
    <w:rsid w:val="004C3841"/>
    <w:rsid w:val="004C3E53"/>
    <w:rsid w:val="004D1572"/>
    <w:rsid w:val="004D2483"/>
    <w:rsid w:val="004D625E"/>
    <w:rsid w:val="004D631D"/>
    <w:rsid w:val="004D6D90"/>
    <w:rsid w:val="004E00F5"/>
    <w:rsid w:val="004E18CB"/>
    <w:rsid w:val="004E2BB0"/>
    <w:rsid w:val="004E4008"/>
    <w:rsid w:val="004E6DBA"/>
    <w:rsid w:val="004E794E"/>
    <w:rsid w:val="004F1307"/>
    <w:rsid w:val="004F17AB"/>
    <w:rsid w:val="004F2B99"/>
    <w:rsid w:val="004F3BD9"/>
    <w:rsid w:val="004F428F"/>
    <w:rsid w:val="004F6CD9"/>
    <w:rsid w:val="00500BA1"/>
    <w:rsid w:val="00501DBE"/>
    <w:rsid w:val="0050394C"/>
    <w:rsid w:val="005108F9"/>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FC1"/>
    <w:rsid w:val="00573EBA"/>
    <w:rsid w:val="00577741"/>
    <w:rsid w:val="005778E2"/>
    <w:rsid w:val="00581A85"/>
    <w:rsid w:val="0058265B"/>
    <w:rsid w:val="0059298A"/>
    <w:rsid w:val="005A10D3"/>
    <w:rsid w:val="005A1259"/>
    <w:rsid w:val="005A4D34"/>
    <w:rsid w:val="005A4EA6"/>
    <w:rsid w:val="005A5BB6"/>
    <w:rsid w:val="005A6208"/>
    <w:rsid w:val="005A736F"/>
    <w:rsid w:val="005A7855"/>
    <w:rsid w:val="005B23B2"/>
    <w:rsid w:val="005B4099"/>
    <w:rsid w:val="005C553F"/>
    <w:rsid w:val="005C5CC0"/>
    <w:rsid w:val="005D3292"/>
    <w:rsid w:val="005D72AF"/>
    <w:rsid w:val="005E0393"/>
    <w:rsid w:val="005E1798"/>
    <w:rsid w:val="005E524C"/>
    <w:rsid w:val="005F0D38"/>
    <w:rsid w:val="005F46E2"/>
    <w:rsid w:val="005F6DEF"/>
    <w:rsid w:val="005F7036"/>
    <w:rsid w:val="00600768"/>
    <w:rsid w:val="00600FDD"/>
    <w:rsid w:val="006049EF"/>
    <w:rsid w:val="00610179"/>
    <w:rsid w:val="00613872"/>
    <w:rsid w:val="00615051"/>
    <w:rsid w:val="0062320B"/>
    <w:rsid w:val="0062546F"/>
    <w:rsid w:val="00625F5D"/>
    <w:rsid w:val="00630FBE"/>
    <w:rsid w:val="006310EB"/>
    <w:rsid w:val="00631B22"/>
    <w:rsid w:val="0063525D"/>
    <w:rsid w:val="00635680"/>
    <w:rsid w:val="00646D16"/>
    <w:rsid w:val="00647600"/>
    <w:rsid w:val="00652DE7"/>
    <w:rsid w:val="00657FD4"/>
    <w:rsid w:val="00663722"/>
    <w:rsid w:val="00670B41"/>
    <w:rsid w:val="00670FD1"/>
    <w:rsid w:val="00671F53"/>
    <w:rsid w:val="006748F1"/>
    <w:rsid w:val="0067590A"/>
    <w:rsid w:val="00680047"/>
    <w:rsid w:val="006801F9"/>
    <w:rsid w:val="00681090"/>
    <w:rsid w:val="00683963"/>
    <w:rsid w:val="006861D0"/>
    <w:rsid w:val="00687A8C"/>
    <w:rsid w:val="0069645C"/>
    <w:rsid w:val="00696B01"/>
    <w:rsid w:val="006973D0"/>
    <w:rsid w:val="006A040B"/>
    <w:rsid w:val="006B21D6"/>
    <w:rsid w:val="006B4750"/>
    <w:rsid w:val="006B5043"/>
    <w:rsid w:val="006C2B22"/>
    <w:rsid w:val="006C2ECD"/>
    <w:rsid w:val="006C4A1B"/>
    <w:rsid w:val="006D106C"/>
    <w:rsid w:val="006D1C6D"/>
    <w:rsid w:val="006D6009"/>
    <w:rsid w:val="006D668A"/>
    <w:rsid w:val="006E38DE"/>
    <w:rsid w:val="006E4FE8"/>
    <w:rsid w:val="006E52F0"/>
    <w:rsid w:val="006F2180"/>
    <w:rsid w:val="006F2B41"/>
    <w:rsid w:val="006F4948"/>
    <w:rsid w:val="006F7AEA"/>
    <w:rsid w:val="00701DDB"/>
    <w:rsid w:val="00706466"/>
    <w:rsid w:val="00707E18"/>
    <w:rsid w:val="00707E86"/>
    <w:rsid w:val="00710ABB"/>
    <w:rsid w:val="00716304"/>
    <w:rsid w:val="00734496"/>
    <w:rsid w:val="00734BAC"/>
    <w:rsid w:val="00735DE8"/>
    <w:rsid w:val="00747D50"/>
    <w:rsid w:val="00750CFE"/>
    <w:rsid w:val="007574CF"/>
    <w:rsid w:val="007667AF"/>
    <w:rsid w:val="007678B0"/>
    <w:rsid w:val="00780020"/>
    <w:rsid w:val="00781AC6"/>
    <w:rsid w:val="00782CF4"/>
    <w:rsid w:val="007839AF"/>
    <w:rsid w:val="00784CED"/>
    <w:rsid w:val="00785DAE"/>
    <w:rsid w:val="00793D2D"/>
    <w:rsid w:val="00794494"/>
    <w:rsid w:val="00797762"/>
    <w:rsid w:val="007A1166"/>
    <w:rsid w:val="007A5A2C"/>
    <w:rsid w:val="007B1022"/>
    <w:rsid w:val="007B3863"/>
    <w:rsid w:val="007B3B10"/>
    <w:rsid w:val="007B48C6"/>
    <w:rsid w:val="007B63D3"/>
    <w:rsid w:val="007B7F7E"/>
    <w:rsid w:val="007C0463"/>
    <w:rsid w:val="007C0935"/>
    <w:rsid w:val="007C2956"/>
    <w:rsid w:val="007C6BE5"/>
    <w:rsid w:val="007D23D2"/>
    <w:rsid w:val="007D2B22"/>
    <w:rsid w:val="007D3B66"/>
    <w:rsid w:val="007E2C1F"/>
    <w:rsid w:val="007E6C03"/>
    <w:rsid w:val="007E6C65"/>
    <w:rsid w:val="007F14DA"/>
    <w:rsid w:val="007F3FAA"/>
    <w:rsid w:val="00800E39"/>
    <w:rsid w:val="00801DF3"/>
    <w:rsid w:val="008034E5"/>
    <w:rsid w:val="00803C5D"/>
    <w:rsid w:val="008055D4"/>
    <w:rsid w:val="00805DE6"/>
    <w:rsid w:val="008079AD"/>
    <w:rsid w:val="00810FE9"/>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A34"/>
    <w:rsid w:val="0085073B"/>
    <w:rsid w:val="008512E1"/>
    <w:rsid w:val="00851F9A"/>
    <w:rsid w:val="00856920"/>
    <w:rsid w:val="00866C34"/>
    <w:rsid w:val="00866E3E"/>
    <w:rsid w:val="00874B84"/>
    <w:rsid w:val="008870C0"/>
    <w:rsid w:val="008967E4"/>
    <w:rsid w:val="008968C9"/>
    <w:rsid w:val="00896954"/>
    <w:rsid w:val="00896DD5"/>
    <w:rsid w:val="008A0034"/>
    <w:rsid w:val="008A56EA"/>
    <w:rsid w:val="008B5E21"/>
    <w:rsid w:val="008C1349"/>
    <w:rsid w:val="008D5BB6"/>
    <w:rsid w:val="008D7321"/>
    <w:rsid w:val="008E05CC"/>
    <w:rsid w:val="008E0FB7"/>
    <w:rsid w:val="008E699D"/>
    <w:rsid w:val="008F2AFC"/>
    <w:rsid w:val="008F2FBC"/>
    <w:rsid w:val="008F4347"/>
    <w:rsid w:val="008F4D90"/>
    <w:rsid w:val="008F646F"/>
    <w:rsid w:val="0090161D"/>
    <w:rsid w:val="00907C08"/>
    <w:rsid w:val="00910AB1"/>
    <w:rsid w:val="00912EBE"/>
    <w:rsid w:val="0091384B"/>
    <w:rsid w:val="00916B7A"/>
    <w:rsid w:val="00920DFA"/>
    <w:rsid w:val="009213AC"/>
    <w:rsid w:val="0092307B"/>
    <w:rsid w:val="009233A9"/>
    <w:rsid w:val="00930B23"/>
    <w:rsid w:val="00931B41"/>
    <w:rsid w:val="0093220F"/>
    <w:rsid w:val="00935886"/>
    <w:rsid w:val="0093626A"/>
    <w:rsid w:val="00936953"/>
    <w:rsid w:val="00940994"/>
    <w:rsid w:val="009409FF"/>
    <w:rsid w:val="00940FBD"/>
    <w:rsid w:val="009415EF"/>
    <w:rsid w:val="00941F4D"/>
    <w:rsid w:val="00944A15"/>
    <w:rsid w:val="00944FA3"/>
    <w:rsid w:val="00945737"/>
    <w:rsid w:val="00946A13"/>
    <w:rsid w:val="00951843"/>
    <w:rsid w:val="00957657"/>
    <w:rsid w:val="00962177"/>
    <w:rsid w:val="00962843"/>
    <w:rsid w:val="00966634"/>
    <w:rsid w:val="00967E21"/>
    <w:rsid w:val="00970181"/>
    <w:rsid w:val="009707DE"/>
    <w:rsid w:val="009726FF"/>
    <w:rsid w:val="00973912"/>
    <w:rsid w:val="00974098"/>
    <w:rsid w:val="009839B5"/>
    <w:rsid w:val="0098462D"/>
    <w:rsid w:val="00986196"/>
    <w:rsid w:val="00987D51"/>
    <w:rsid w:val="00995329"/>
    <w:rsid w:val="00996E70"/>
    <w:rsid w:val="009A1FF5"/>
    <w:rsid w:val="009A3782"/>
    <w:rsid w:val="009A46E0"/>
    <w:rsid w:val="009A50E6"/>
    <w:rsid w:val="009A570E"/>
    <w:rsid w:val="009A704A"/>
    <w:rsid w:val="009C06C6"/>
    <w:rsid w:val="009C1A4A"/>
    <w:rsid w:val="009C52A4"/>
    <w:rsid w:val="009C7078"/>
    <w:rsid w:val="009C70D2"/>
    <w:rsid w:val="009D15E5"/>
    <w:rsid w:val="009D32AC"/>
    <w:rsid w:val="009D508A"/>
    <w:rsid w:val="009D78FC"/>
    <w:rsid w:val="009E0F69"/>
    <w:rsid w:val="009E1D0C"/>
    <w:rsid w:val="009E45D0"/>
    <w:rsid w:val="009F4A6F"/>
    <w:rsid w:val="009F7831"/>
    <w:rsid w:val="00A00EAE"/>
    <w:rsid w:val="00A0364F"/>
    <w:rsid w:val="00A03AB4"/>
    <w:rsid w:val="00A05FD8"/>
    <w:rsid w:val="00A07287"/>
    <w:rsid w:val="00A07723"/>
    <w:rsid w:val="00A07729"/>
    <w:rsid w:val="00A12AB4"/>
    <w:rsid w:val="00A15C7B"/>
    <w:rsid w:val="00A16903"/>
    <w:rsid w:val="00A216EE"/>
    <w:rsid w:val="00A2513D"/>
    <w:rsid w:val="00A32CE2"/>
    <w:rsid w:val="00A37367"/>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40F2"/>
    <w:rsid w:val="00A87719"/>
    <w:rsid w:val="00A91B8B"/>
    <w:rsid w:val="00A936EB"/>
    <w:rsid w:val="00A94670"/>
    <w:rsid w:val="00A95507"/>
    <w:rsid w:val="00AA6417"/>
    <w:rsid w:val="00AB41C8"/>
    <w:rsid w:val="00AB4810"/>
    <w:rsid w:val="00AB5712"/>
    <w:rsid w:val="00AB64C0"/>
    <w:rsid w:val="00AB650C"/>
    <w:rsid w:val="00AB7153"/>
    <w:rsid w:val="00AB7432"/>
    <w:rsid w:val="00AC0681"/>
    <w:rsid w:val="00AC348B"/>
    <w:rsid w:val="00AC3E2E"/>
    <w:rsid w:val="00AC42D2"/>
    <w:rsid w:val="00AC5455"/>
    <w:rsid w:val="00AC638F"/>
    <w:rsid w:val="00AD2838"/>
    <w:rsid w:val="00AD5977"/>
    <w:rsid w:val="00AD6F54"/>
    <w:rsid w:val="00AD73DE"/>
    <w:rsid w:val="00AE02F0"/>
    <w:rsid w:val="00AE5312"/>
    <w:rsid w:val="00AF0014"/>
    <w:rsid w:val="00AF70CD"/>
    <w:rsid w:val="00AF7489"/>
    <w:rsid w:val="00B00B9D"/>
    <w:rsid w:val="00B02B25"/>
    <w:rsid w:val="00B11EE1"/>
    <w:rsid w:val="00B12FA0"/>
    <w:rsid w:val="00B1321C"/>
    <w:rsid w:val="00B13DBC"/>
    <w:rsid w:val="00B1643E"/>
    <w:rsid w:val="00B27071"/>
    <w:rsid w:val="00B3121B"/>
    <w:rsid w:val="00B31BEE"/>
    <w:rsid w:val="00B35F43"/>
    <w:rsid w:val="00B36674"/>
    <w:rsid w:val="00B37894"/>
    <w:rsid w:val="00B37DC3"/>
    <w:rsid w:val="00B4107A"/>
    <w:rsid w:val="00B4194B"/>
    <w:rsid w:val="00B432C3"/>
    <w:rsid w:val="00B4486B"/>
    <w:rsid w:val="00B4603A"/>
    <w:rsid w:val="00B479BC"/>
    <w:rsid w:val="00B47D29"/>
    <w:rsid w:val="00B47FDC"/>
    <w:rsid w:val="00B62BC0"/>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179A"/>
    <w:rsid w:val="00BB60FE"/>
    <w:rsid w:val="00BC3527"/>
    <w:rsid w:val="00BC3A85"/>
    <w:rsid w:val="00BC539B"/>
    <w:rsid w:val="00BC64BC"/>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49A3"/>
    <w:rsid w:val="00C24A79"/>
    <w:rsid w:val="00C24DAA"/>
    <w:rsid w:val="00C26115"/>
    <w:rsid w:val="00C26801"/>
    <w:rsid w:val="00C33CB2"/>
    <w:rsid w:val="00C358BB"/>
    <w:rsid w:val="00C405F3"/>
    <w:rsid w:val="00C421F3"/>
    <w:rsid w:val="00C45777"/>
    <w:rsid w:val="00C4649F"/>
    <w:rsid w:val="00C47F3A"/>
    <w:rsid w:val="00C50248"/>
    <w:rsid w:val="00C527CD"/>
    <w:rsid w:val="00C54F7C"/>
    <w:rsid w:val="00C57BAE"/>
    <w:rsid w:val="00C639B7"/>
    <w:rsid w:val="00C64091"/>
    <w:rsid w:val="00C66B7D"/>
    <w:rsid w:val="00C66B84"/>
    <w:rsid w:val="00C66FA0"/>
    <w:rsid w:val="00C7564A"/>
    <w:rsid w:val="00C85ABC"/>
    <w:rsid w:val="00C91E56"/>
    <w:rsid w:val="00CA32D6"/>
    <w:rsid w:val="00CA3683"/>
    <w:rsid w:val="00CA6B19"/>
    <w:rsid w:val="00CB39DE"/>
    <w:rsid w:val="00CB4792"/>
    <w:rsid w:val="00CC4576"/>
    <w:rsid w:val="00CC6B63"/>
    <w:rsid w:val="00CD124D"/>
    <w:rsid w:val="00CD65A0"/>
    <w:rsid w:val="00CD709D"/>
    <w:rsid w:val="00CE1831"/>
    <w:rsid w:val="00CE1B14"/>
    <w:rsid w:val="00CE3AEA"/>
    <w:rsid w:val="00CE3BE5"/>
    <w:rsid w:val="00CE7703"/>
    <w:rsid w:val="00CF2EBE"/>
    <w:rsid w:val="00CF3A37"/>
    <w:rsid w:val="00CF47B6"/>
    <w:rsid w:val="00D007AC"/>
    <w:rsid w:val="00D0226F"/>
    <w:rsid w:val="00D02F6D"/>
    <w:rsid w:val="00D12194"/>
    <w:rsid w:val="00D1386B"/>
    <w:rsid w:val="00D13B30"/>
    <w:rsid w:val="00D167AE"/>
    <w:rsid w:val="00D260A3"/>
    <w:rsid w:val="00D30064"/>
    <w:rsid w:val="00D30B85"/>
    <w:rsid w:val="00D341CA"/>
    <w:rsid w:val="00D36A83"/>
    <w:rsid w:val="00D40517"/>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91629"/>
    <w:rsid w:val="00D9287F"/>
    <w:rsid w:val="00D95EF6"/>
    <w:rsid w:val="00D9779E"/>
    <w:rsid w:val="00D97835"/>
    <w:rsid w:val="00DA0D9B"/>
    <w:rsid w:val="00DA273A"/>
    <w:rsid w:val="00DA3126"/>
    <w:rsid w:val="00DA3E64"/>
    <w:rsid w:val="00DA4E49"/>
    <w:rsid w:val="00DB0116"/>
    <w:rsid w:val="00DB2406"/>
    <w:rsid w:val="00DB5829"/>
    <w:rsid w:val="00DC0CF2"/>
    <w:rsid w:val="00DC504A"/>
    <w:rsid w:val="00DC7FBF"/>
    <w:rsid w:val="00DD1ABC"/>
    <w:rsid w:val="00DD2ACB"/>
    <w:rsid w:val="00DD75DB"/>
    <w:rsid w:val="00DE05B8"/>
    <w:rsid w:val="00DE3A92"/>
    <w:rsid w:val="00DE4971"/>
    <w:rsid w:val="00DE5DC5"/>
    <w:rsid w:val="00DF0045"/>
    <w:rsid w:val="00DF1EDB"/>
    <w:rsid w:val="00DF5F06"/>
    <w:rsid w:val="00E01C8C"/>
    <w:rsid w:val="00E01EDB"/>
    <w:rsid w:val="00E05301"/>
    <w:rsid w:val="00E05958"/>
    <w:rsid w:val="00E0763F"/>
    <w:rsid w:val="00E20730"/>
    <w:rsid w:val="00E215CB"/>
    <w:rsid w:val="00E21867"/>
    <w:rsid w:val="00E231ED"/>
    <w:rsid w:val="00E23480"/>
    <w:rsid w:val="00E244F1"/>
    <w:rsid w:val="00E24C48"/>
    <w:rsid w:val="00E25E5C"/>
    <w:rsid w:val="00E2716F"/>
    <w:rsid w:val="00E41631"/>
    <w:rsid w:val="00E45D3C"/>
    <w:rsid w:val="00E52E3C"/>
    <w:rsid w:val="00E54AB5"/>
    <w:rsid w:val="00E630D0"/>
    <w:rsid w:val="00E66060"/>
    <w:rsid w:val="00E66576"/>
    <w:rsid w:val="00E674AB"/>
    <w:rsid w:val="00E71F19"/>
    <w:rsid w:val="00E74119"/>
    <w:rsid w:val="00E753EA"/>
    <w:rsid w:val="00E8002A"/>
    <w:rsid w:val="00E80ED7"/>
    <w:rsid w:val="00E8529A"/>
    <w:rsid w:val="00E871BA"/>
    <w:rsid w:val="00E9485D"/>
    <w:rsid w:val="00E97E6C"/>
    <w:rsid w:val="00EA1E0E"/>
    <w:rsid w:val="00EA668B"/>
    <w:rsid w:val="00EB0333"/>
    <w:rsid w:val="00EB0ECA"/>
    <w:rsid w:val="00EB20CF"/>
    <w:rsid w:val="00EB22C8"/>
    <w:rsid w:val="00EC1267"/>
    <w:rsid w:val="00EC4AE1"/>
    <w:rsid w:val="00EC6E1A"/>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303"/>
    <w:rsid w:val="00EF7EA0"/>
    <w:rsid w:val="00F01192"/>
    <w:rsid w:val="00F032FD"/>
    <w:rsid w:val="00F03332"/>
    <w:rsid w:val="00F034C4"/>
    <w:rsid w:val="00F075E1"/>
    <w:rsid w:val="00F077AB"/>
    <w:rsid w:val="00F130F0"/>
    <w:rsid w:val="00F20045"/>
    <w:rsid w:val="00F22EF5"/>
    <w:rsid w:val="00F2335A"/>
    <w:rsid w:val="00F23B21"/>
    <w:rsid w:val="00F24B76"/>
    <w:rsid w:val="00F2555A"/>
    <w:rsid w:val="00F25F20"/>
    <w:rsid w:val="00F26D0B"/>
    <w:rsid w:val="00F323DC"/>
    <w:rsid w:val="00F4025C"/>
    <w:rsid w:val="00F4212F"/>
    <w:rsid w:val="00F436BC"/>
    <w:rsid w:val="00F45F56"/>
    <w:rsid w:val="00F54C4D"/>
    <w:rsid w:val="00F564F4"/>
    <w:rsid w:val="00F5771C"/>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38EF"/>
    <w:rsid w:val="00FB47A0"/>
    <w:rsid w:val="00FB5018"/>
    <w:rsid w:val="00FB6678"/>
    <w:rsid w:val="00FC3A54"/>
    <w:rsid w:val="00FD1F30"/>
    <w:rsid w:val="00FD5D2D"/>
    <w:rsid w:val="00FD6260"/>
    <w:rsid w:val="00FE2779"/>
    <w:rsid w:val="00FE297C"/>
    <w:rsid w:val="00FE503B"/>
    <w:rsid w:val="00FE779D"/>
    <w:rsid w:val="00FF0618"/>
    <w:rsid w:val="00FF49F8"/>
    <w:rsid w:val="00FF559E"/>
    <w:rsid w:val="00FF6F24"/>
    <w:rsid w:val="00FF7CEF"/>
    <w:rsid w:val="3FBF6F17"/>
    <w:rsid w:val="3FEF29A9"/>
    <w:rsid w:val="3FEFD27A"/>
    <w:rsid w:val="3FFFA2D2"/>
    <w:rsid w:val="5EFFAAD2"/>
    <w:rsid w:val="5F67AF73"/>
    <w:rsid w:val="69372060"/>
    <w:rsid w:val="6FFD91A2"/>
    <w:rsid w:val="76AB857F"/>
    <w:rsid w:val="776D88C4"/>
    <w:rsid w:val="77FD2ADD"/>
    <w:rsid w:val="7BFBBDF0"/>
    <w:rsid w:val="7CFF91AE"/>
    <w:rsid w:val="7FE30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603B8E6C-9AEE-4623-A28E-6E75085D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pPr>
    <w:rPr>
      <w:rFonts w:eastAsia="宋体"/>
      <w:lang w:val="en-GB"/>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sz w:val="36"/>
      <w:szCs w:val="36"/>
      <w:lang w:val="en-GB"/>
    </w:rPr>
  </w:style>
  <w:style w:type="paragraph" w:styleId="2">
    <w:name w:val="heading 2"/>
    <w:basedOn w:val="1"/>
    <w:next w:val="a"/>
    <w:link w:val="2Char"/>
    <w:unhideWhenUsed/>
    <w:qFormat/>
    <w:pPr>
      <w:numPr>
        <w:ilvl w:val="1"/>
      </w:numPr>
      <w:pBdr>
        <w:top w:val="none" w:sz="0" w:space="0" w:color="auto"/>
      </w:pBdr>
      <w:spacing w:before="180"/>
      <w:outlineLvl w:val="1"/>
    </w:pPr>
    <w:rPr>
      <w:sz w:val="32"/>
      <w:szCs w:val="32"/>
    </w:rPr>
  </w:style>
  <w:style w:type="paragraph" w:styleId="3">
    <w:name w:val="heading 3"/>
    <w:basedOn w:val="a"/>
    <w:next w:val="a"/>
    <w:link w:val="3Char1"/>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3"/>
    <w:next w:val="a"/>
    <w:link w:val="4Char"/>
    <w:semiHidden/>
    <w:unhideWhenUsed/>
    <w:qFormat/>
    <w:pPr>
      <w:numPr>
        <w:ilvl w:val="3"/>
        <w:numId w:val="1"/>
      </w:numPr>
      <w:spacing w:before="120" w:after="180"/>
      <w:jc w:val="left"/>
      <w:outlineLvl w:val="3"/>
    </w:pPr>
    <w:rPr>
      <w:rFonts w:ascii="Arial" w:eastAsia="Times New Roman" w:hAnsi="Arial" w:cs="Times New Roman"/>
      <w:color w:val="auto"/>
    </w:rPr>
  </w:style>
  <w:style w:type="paragraph" w:styleId="5">
    <w:name w:val="heading 5"/>
    <w:basedOn w:val="4"/>
    <w:next w:val="a"/>
    <w:link w:val="5Char"/>
    <w:semiHidden/>
    <w:unhideWhenUsed/>
    <w:qFormat/>
    <w:pPr>
      <w:numPr>
        <w:ilvl w:val="4"/>
      </w:numPr>
      <w:outlineLvl w:val="4"/>
    </w:pPr>
    <w:rPr>
      <w:sz w:val="22"/>
      <w:szCs w:val="22"/>
    </w:rPr>
  </w:style>
  <w:style w:type="paragraph" w:styleId="6">
    <w:name w:val="heading 6"/>
    <w:basedOn w:val="a"/>
    <w:next w:val="a"/>
    <w:link w:val="6Char"/>
    <w:semiHidden/>
    <w:unhideWhenUsed/>
    <w:qFormat/>
    <w:pPr>
      <w:keepNext/>
      <w:keepLines/>
      <w:numPr>
        <w:ilvl w:val="5"/>
        <w:numId w:val="1"/>
      </w:numPr>
      <w:spacing w:before="120"/>
      <w:outlineLvl w:val="5"/>
    </w:pPr>
    <w:rPr>
      <w:rFonts w:cs="Arial"/>
    </w:rPr>
  </w:style>
  <w:style w:type="paragraph" w:styleId="7">
    <w:name w:val="heading 7"/>
    <w:basedOn w:val="a"/>
    <w:next w:val="a"/>
    <w:link w:val="7Char"/>
    <w:semiHidden/>
    <w:unhideWhenUsed/>
    <w:qFormat/>
    <w:pPr>
      <w:keepNext/>
      <w:keepLines/>
      <w:numPr>
        <w:ilvl w:val="6"/>
        <w:numId w:val="1"/>
      </w:numPr>
      <w:spacing w:before="120"/>
      <w:outlineLvl w:val="6"/>
    </w:pPr>
    <w:rPr>
      <w:rFonts w:cs="Arial"/>
    </w:rPr>
  </w:style>
  <w:style w:type="paragraph" w:styleId="8">
    <w:name w:val="heading 8"/>
    <w:basedOn w:val="7"/>
    <w:next w:val="a"/>
    <w:link w:val="8Char"/>
    <w:semiHidden/>
    <w:unhideWhenUsed/>
    <w:qFormat/>
    <w:pPr>
      <w:numPr>
        <w:ilvl w:val="7"/>
      </w:numPr>
      <w:outlineLvl w:val="7"/>
    </w:pPr>
  </w:style>
  <w:style w:type="paragraph" w:styleId="9">
    <w:name w:val="heading 9"/>
    <w:basedOn w:val="8"/>
    <w:next w:val="a"/>
    <w:link w:val="9Char"/>
    <w:semiHidden/>
    <w:unhideWhenUsed/>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Char"/>
    <w:uiPriority w:val="99"/>
    <w:unhideWhenUsed/>
  </w:style>
  <w:style w:type="paragraph" w:styleId="a5">
    <w:name w:val="Body Text"/>
    <w:basedOn w:val="a"/>
    <w:link w:val="Char0"/>
    <w:unhideWhenUsed/>
    <w:qFormat/>
    <w:rPr>
      <w:rFonts w:eastAsia="Malgun Gothic"/>
    </w:rPr>
  </w:style>
  <w:style w:type="paragraph" w:styleId="20">
    <w:name w:val="List 2"/>
    <w:basedOn w:val="a"/>
    <w:uiPriority w:val="99"/>
    <w:semiHidden/>
    <w:unhideWhenUsed/>
    <w:pPr>
      <w:ind w:leftChars="200" w:left="100" w:hangingChars="200" w:hanging="200"/>
      <w:contextualSpacing/>
    </w:pPr>
  </w:style>
  <w:style w:type="paragraph" w:styleId="a6">
    <w:name w:val="Balloon Text"/>
    <w:basedOn w:val="a"/>
    <w:link w:val="Char1"/>
    <w:uiPriority w:val="99"/>
    <w:semiHidden/>
    <w:unhideWhenUsed/>
    <w:pPr>
      <w:spacing w:after="0"/>
    </w:pPr>
    <w:rPr>
      <w:rFonts w:ascii="Segoe UI" w:hAnsi="Segoe UI" w:cs="Segoe UI"/>
      <w:sz w:val="18"/>
      <w:szCs w:val="18"/>
    </w:rPr>
  </w:style>
  <w:style w:type="paragraph" w:styleId="a7">
    <w:name w:val="footer"/>
    <w:basedOn w:val="a"/>
    <w:link w:val="Char2"/>
    <w:uiPriority w:val="99"/>
    <w:unhideWhenUsed/>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50">
    <w:name w:val="List 5"/>
    <w:basedOn w:val="a"/>
    <w:uiPriority w:val="99"/>
    <w:semiHidden/>
    <w:unhideWhenUsed/>
    <w:qFormat/>
    <w:pPr>
      <w:ind w:leftChars="800" w:left="100" w:hangingChars="200" w:hanging="200"/>
    </w:pPr>
  </w:style>
  <w:style w:type="paragraph" w:styleId="40">
    <w:name w:val="List 4"/>
    <w:basedOn w:val="a"/>
    <w:uiPriority w:val="99"/>
    <w:semiHidden/>
    <w:unhideWhenUsed/>
    <w:pPr>
      <w:ind w:leftChars="600" w:left="100" w:hangingChars="200" w:hanging="200"/>
    </w:pPr>
  </w:style>
  <w:style w:type="paragraph" w:styleId="a9">
    <w:name w:val="Normal (Web)"/>
    <w:basedOn w:val="a"/>
    <w:uiPriority w:val="99"/>
    <w:semiHidden/>
    <w:unhideWhenUsed/>
    <w:pPr>
      <w:overflowPunct/>
      <w:autoSpaceDE/>
      <w:autoSpaceDN/>
      <w:adjustRightInd/>
      <w:spacing w:before="100" w:beforeAutospacing="1" w:after="100" w:afterAutospacing="1"/>
      <w:jc w:val="left"/>
    </w:pPr>
    <w:rPr>
      <w:rFonts w:eastAsiaTheme="minorEastAsia"/>
      <w:sz w:val="24"/>
      <w:szCs w:val="24"/>
    </w:rPr>
  </w:style>
  <w:style w:type="paragraph" w:styleId="aa">
    <w:name w:val="annotation subject"/>
    <w:basedOn w:val="a4"/>
    <w:next w:val="a4"/>
    <w:link w:val="Char4"/>
    <w:uiPriority w:val="99"/>
    <w:semiHidden/>
    <w:unhideWhenUsed/>
    <w:rPr>
      <w:b/>
      <w:bCs/>
    </w:rPr>
  </w:style>
  <w:style w:type="table" w:styleId="ab">
    <w:name w:val="Table Grid"/>
    <w:basedOn w:val="a1"/>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qFormat/>
    <w:rPr>
      <w:sz w:val="16"/>
      <w:szCs w:val="16"/>
    </w:rPr>
  </w:style>
  <w:style w:type="character" w:customStyle="1" w:styleId="Heading1Char">
    <w:name w:val="Heading 1 Char"/>
    <w:basedOn w:val="a0"/>
    <w:uiPriority w:val="9"/>
    <w:rPr>
      <w:rFonts w:asciiTheme="majorHAnsi" w:eastAsiaTheme="majorEastAsia" w:hAnsiTheme="majorHAnsi" w:cstheme="majorBidi"/>
      <w:color w:val="2F5496" w:themeColor="accent1" w:themeShade="BF"/>
      <w:sz w:val="32"/>
      <w:szCs w:val="32"/>
      <w:lang w:val="en-US" w:eastAsia="zh-CN"/>
    </w:rPr>
  </w:style>
  <w:style w:type="character" w:customStyle="1" w:styleId="2Char">
    <w:name w:val="标题 2 Char"/>
    <w:basedOn w:val="a0"/>
    <w:link w:val="2"/>
    <w:rPr>
      <w:rFonts w:ascii="Arial" w:eastAsia="Times New Roman" w:hAnsi="Arial" w:cs="Times New Roman"/>
      <w:sz w:val="32"/>
      <w:szCs w:val="32"/>
      <w:lang w:val="en-GB" w:eastAsia="zh-CN"/>
    </w:rPr>
  </w:style>
  <w:style w:type="character" w:customStyle="1" w:styleId="4Char">
    <w:name w:val="标题 4 Char"/>
    <w:basedOn w:val="a0"/>
    <w:link w:val="4"/>
    <w:semiHidden/>
    <w:rPr>
      <w:rFonts w:ascii="Arial" w:eastAsia="Times New Roman" w:hAnsi="Arial" w:cs="Times New Roman"/>
      <w:sz w:val="24"/>
      <w:szCs w:val="24"/>
      <w:lang w:val="en-GB" w:eastAsia="zh-CN"/>
    </w:rPr>
  </w:style>
  <w:style w:type="character" w:customStyle="1" w:styleId="5Char">
    <w:name w:val="标题 5 Char"/>
    <w:basedOn w:val="a0"/>
    <w:link w:val="5"/>
    <w:semiHidden/>
    <w:rPr>
      <w:rFonts w:ascii="Arial" w:eastAsia="Times New Roman" w:hAnsi="Arial" w:cs="Times New Roman"/>
      <w:lang w:val="en-GB" w:eastAsia="zh-CN"/>
    </w:rPr>
  </w:style>
  <w:style w:type="character" w:customStyle="1" w:styleId="6Char">
    <w:name w:val="标题 6 Char"/>
    <w:basedOn w:val="a0"/>
    <w:link w:val="6"/>
    <w:semiHidden/>
    <w:qFormat/>
    <w:rPr>
      <w:rFonts w:ascii="Arial" w:eastAsia="宋体" w:hAnsi="Arial" w:cs="Arial"/>
      <w:sz w:val="20"/>
      <w:szCs w:val="20"/>
      <w:lang w:val="en-US" w:eastAsia="zh-CN"/>
    </w:rPr>
  </w:style>
  <w:style w:type="character" w:customStyle="1" w:styleId="7Char">
    <w:name w:val="标题 7 Char"/>
    <w:basedOn w:val="a0"/>
    <w:link w:val="7"/>
    <w:semiHidden/>
    <w:qFormat/>
    <w:rPr>
      <w:rFonts w:ascii="Arial" w:eastAsia="宋体" w:hAnsi="Arial" w:cs="Arial"/>
      <w:sz w:val="20"/>
      <w:szCs w:val="20"/>
      <w:lang w:val="en-US" w:eastAsia="zh-CN"/>
    </w:rPr>
  </w:style>
  <w:style w:type="character" w:customStyle="1" w:styleId="8Char">
    <w:name w:val="标题 8 Char"/>
    <w:basedOn w:val="a0"/>
    <w:link w:val="8"/>
    <w:semiHidden/>
    <w:qFormat/>
    <w:rPr>
      <w:rFonts w:ascii="Arial" w:eastAsia="宋体" w:hAnsi="Arial" w:cs="Arial"/>
      <w:sz w:val="20"/>
      <w:szCs w:val="20"/>
      <w:lang w:val="en-US" w:eastAsia="zh-CN"/>
    </w:rPr>
  </w:style>
  <w:style w:type="character" w:customStyle="1" w:styleId="9Char">
    <w:name w:val="标题 9 Char"/>
    <w:basedOn w:val="a0"/>
    <w:link w:val="9"/>
    <w:semiHidden/>
    <w:rPr>
      <w:rFonts w:ascii="Arial" w:eastAsia="宋体" w:hAnsi="Arial" w:cs="Arial"/>
      <w:sz w:val="20"/>
      <w:szCs w:val="20"/>
      <w:lang w:val="en-US" w:eastAsia="zh-CN"/>
    </w:rPr>
  </w:style>
  <w:style w:type="character" w:customStyle="1" w:styleId="1Char">
    <w:name w:val="标题 1 Char"/>
    <w:link w:val="1"/>
    <w:locked/>
    <w:rPr>
      <w:rFonts w:ascii="Arial" w:eastAsia="Times New Roman" w:hAnsi="Arial" w:cs="Times New Roman"/>
      <w:sz w:val="36"/>
      <w:szCs w:val="36"/>
      <w:lang w:val="en-GB" w:eastAsia="zh-CN"/>
    </w:rPr>
  </w:style>
  <w:style w:type="character" w:customStyle="1" w:styleId="Char0">
    <w:name w:val="正文文本 Char"/>
    <w:basedOn w:val="a0"/>
    <w:link w:val="a5"/>
    <w:rPr>
      <w:rFonts w:ascii="Arial" w:eastAsia="Malgun Gothic" w:hAnsi="Arial" w:cs="Times New Roman"/>
      <w:sz w:val="20"/>
      <w:szCs w:val="20"/>
      <w:lang w:val="en-GB" w:eastAsia="zh-CN"/>
    </w:rPr>
  </w:style>
  <w:style w:type="character" w:customStyle="1" w:styleId="Char5">
    <w:name w:val="列出段落 Char"/>
    <w:link w:val="ad"/>
    <w:uiPriority w:val="34"/>
    <w:qFormat/>
    <w:locked/>
    <w:rPr>
      <w:rFonts w:ascii="Calibri" w:eastAsia="宋体" w:hAnsi="Calibri" w:cs="Calibri"/>
      <w:lang w:val="zh-CN" w:eastAsia="zh-CN"/>
    </w:rPr>
  </w:style>
  <w:style w:type="paragraph" w:styleId="ad">
    <w:name w:val="List Paragraph"/>
    <w:basedOn w:val="a"/>
    <w:link w:val="Char5"/>
    <w:uiPriority w:val="34"/>
    <w:qFormat/>
    <w:pPr>
      <w:overflowPunct/>
      <w:autoSpaceDE/>
      <w:autoSpaceDN/>
      <w:adjustRightInd/>
      <w:spacing w:after="0"/>
      <w:ind w:left="720"/>
      <w:jc w:val="left"/>
    </w:pPr>
    <w:rPr>
      <w:rFonts w:ascii="Calibri" w:hAnsi="Calibri" w:cs="Calibri"/>
      <w:sz w:val="22"/>
      <w:szCs w:val="22"/>
      <w:lang w:val="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ProposalChar">
    <w:name w:val="Proposal Char"/>
    <w:link w:val="Proposal"/>
    <w:locked/>
    <w:rPr>
      <w:rFonts w:ascii="Arial" w:hAnsi="Arial"/>
      <w:b/>
      <w:bCs/>
      <w:lang w:val="zh-CN" w:eastAsia="zh-CN"/>
    </w:rPr>
  </w:style>
  <w:style w:type="paragraph" w:customStyle="1" w:styleId="Proposal">
    <w:name w:val="Proposal"/>
    <w:basedOn w:val="a"/>
    <w:link w:val="ProposalChar"/>
    <w:qFormat/>
    <w:pPr>
      <w:numPr>
        <w:numId w:val="2"/>
      </w:numPr>
    </w:pPr>
    <w:rPr>
      <w:rFonts w:eastAsiaTheme="minorHAnsi" w:cstheme="minorBidi"/>
      <w:b/>
      <w:bCs/>
      <w:sz w:val="22"/>
      <w:szCs w:val="22"/>
      <w:lang w:val="zh-CN"/>
    </w:rPr>
  </w:style>
  <w:style w:type="character" w:customStyle="1" w:styleId="PLChar">
    <w:name w:val="PL Char"/>
    <w:link w:val="PL"/>
    <w:qFormat/>
    <w:locked/>
    <w:rPr>
      <w:rFonts w:ascii="Courier New"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heme="minorEastAsia" w:hAnsi="Courier New" w:cs="Courier New"/>
      <w:sz w:val="16"/>
      <w:szCs w:val="16"/>
      <w:lang w:val="en-GB" w:eastAsia="ja-JP"/>
    </w:rPr>
  </w:style>
  <w:style w:type="character" w:customStyle="1" w:styleId="CRCoverPageZchn">
    <w:name w:val="CR Cover Page Zchn"/>
    <w:link w:val="CRCoverPage"/>
    <w:locked/>
    <w:rPr>
      <w:rFonts w:ascii="Arial" w:eastAsia="MS Mincho" w:hAnsi="Arial" w:cs="Arial"/>
      <w:lang w:val="en-GB"/>
    </w:rPr>
  </w:style>
  <w:style w:type="paragraph" w:customStyle="1" w:styleId="CRCoverPage">
    <w:name w:val="CR Cover Page"/>
    <w:link w:val="CRCoverPageZchn"/>
    <w:pPr>
      <w:spacing w:after="120"/>
    </w:pPr>
    <w:rPr>
      <w:rFonts w:ascii="Arial" w:eastAsia="MS Mincho" w:hAnsi="Arial" w:cs="Arial"/>
      <w:sz w:val="22"/>
      <w:szCs w:val="22"/>
      <w:lang w:val="en-GB" w:eastAsia="en-US"/>
    </w:rPr>
  </w:style>
  <w:style w:type="paragraph" w:customStyle="1" w:styleId="References">
    <w:name w:val="References"/>
    <w:basedOn w:val="a"/>
    <w:pPr>
      <w:numPr>
        <w:numId w:val="3"/>
      </w:numPr>
      <w:overflowPunct/>
      <w:adjustRightInd/>
      <w:snapToGrid w:val="0"/>
      <w:spacing w:after="60"/>
    </w:pPr>
    <w:rPr>
      <w:szCs w:val="16"/>
      <w:lang w:eastAsia="en-US"/>
    </w:rPr>
  </w:style>
  <w:style w:type="table" w:customStyle="1" w:styleId="10">
    <w:name w:val="网格型1"/>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uiPriority w:val="9"/>
    <w:semiHidden/>
    <w:rPr>
      <w:rFonts w:asciiTheme="majorHAnsi" w:eastAsiaTheme="majorEastAsia" w:hAnsiTheme="majorHAnsi" w:cstheme="majorBidi"/>
      <w:color w:val="1F3864" w:themeColor="accent1" w:themeShade="80"/>
      <w:sz w:val="24"/>
      <w:szCs w:val="24"/>
      <w:lang w:val="en-US" w:eastAsia="zh-CN"/>
    </w:rPr>
  </w:style>
  <w:style w:type="character" w:customStyle="1" w:styleId="Char">
    <w:name w:val="批注文字 Char"/>
    <w:basedOn w:val="a0"/>
    <w:link w:val="a4"/>
    <w:uiPriority w:val="99"/>
    <w:qFormat/>
    <w:rPr>
      <w:rFonts w:ascii="Arial" w:eastAsia="宋体" w:hAnsi="Arial" w:cs="Times New Roman"/>
      <w:sz w:val="20"/>
      <w:szCs w:val="20"/>
      <w:lang w:val="en-US" w:eastAsia="zh-CN"/>
    </w:rPr>
  </w:style>
  <w:style w:type="character" w:customStyle="1" w:styleId="Char4">
    <w:name w:val="批注主题 Char"/>
    <w:basedOn w:val="Char"/>
    <w:link w:val="aa"/>
    <w:uiPriority w:val="99"/>
    <w:semiHidden/>
    <w:rPr>
      <w:rFonts w:ascii="Arial" w:eastAsia="宋体" w:hAnsi="Arial" w:cs="Times New Roman"/>
      <w:b/>
      <w:bCs/>
      <w:sz w:val="20"/>
      <w:szCs w:val="20"/>
      <w:lang w:val="en-US" w:eastAsia="zh-CN"/>
    </w:rPr>
  </w:style>
  <w:style w:type="character" w:customStyle="1" w:styleId="Char1">
    <w:name w:val="批注框文本 Char"/>
    <w:basedOn w:val="a0"/>
    <w:link w:val="a6"/>
    <w:uiPriority w:val="99"/>
    <w:semiHidden/>
    <w:rPr>
      <w:rFonts w:ascii="Segoe UI" w:eastAsia="宋体" w:hAnsi="Segoe UI" w:cs="Segoe UI"/>
      <w:sz w:val="18"/>
      <w:szCs w:val="18"/>
      <w:lang w:val="en-US" w:eastAsia="zh-CN"/>
    </w:rPr>
  </w:style>
  <w:style w:type="character" w:customStyle="1" w:styleId="Char3">
    <w:name w:val="页眉 Char"/>
    <w:basedOn w:val="a0"/>
    <w:link w:val="a8"/>
    <w:uiPriority w:val="99"/>
    <w:rPr>
      <w:rFonts w:ascii="Arial" w:eastAsia="宋体" w:hAnsi="Arial" w:cs="Times New Roman"/>
      <w:sz w:val="18"/>
      <w:szCs w:val="18"/>
      <w:lang w:val="en-US" w:eastAsia="zh-CN"/>
    </w:rPr>
  </w:style>
  <w:style w:type="character" w:customStyle="1" w:styleId="Char2">
    <w:name w:val="页脚 Char"/>
    <w:basedOn w:val="a0"/>
    <w:link w:val="a7"/>
    <w:uiPriority w:val="99"/>
    <w:rPr>
      <w:rFonts w:ascii="Arial" w:eastAsia="宋体" w:hAnsi="Arial" w:cs="Times New Roman"/>
      <w:sz w:val="18"/>
      <w:szCs w:val="18"/>
      <w:lang w:val="en-US" w:eastAsia="zh-CN"/>
    </w:rPr>
  </w:style>
  <w:style w:type="character" w:customStyle="1" w:styleId="11">
    <w:name w:val="明显强调1"/>
    <w:basedOn w:val="a0"/>
    <w:uiPriority w:val="21"/>
    <w:qFormat/>
    <w:rPr>
      <w:i/>
      <w:iCs/>
      <w:color w:val="4472C4" w:themeColor="accent1"/>
    </w:rPr>
  </w:style>
  <w:style w:type="paragraph" w:customStyle="1" w:styleId="Agreement">
    <w:name w:val="Agreement"/>
    <w:basedOn w:val="a"/>
    <w:next w:val="a"/>
    <w:uiPriority w:val="99"/>
    <w:qFormat/>
    <w:pPr>
      <w:tabs>
        <w:tab w:val="left"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12">
    <w:name w:val="修订1"/>
    <w:hidden/>
    <w:uiPriority w:val="99"/>
    <w:semiHidden/>
    <w:rPr>
      <w:rFonts w:ascii="Arial" w:eastAsia="宋体" w:hAnsi="Arial"/>
    </w:rPr>
  </w:style>
  <w:style w:type="paragraph" w:customStyle="1" w:styleId="B2">
    <w:name w:val="B2"/>
    <w:basedOn w:val="20"/>
    <w:link w:val="B2Char"/>
    <w:qFormat/>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Pr>
      <w:rFonts w:eastAsia="MS Mincho"/>
      <w:kern w:val="2"/>
      <w:sz w:val="21"/>
      <w:lang w:eastAsia="zh-CN"/>
    </w:rPr>
  </w:style>
  <w:style w:type="paragraph" w:customStyle="1" w:styleId="B3">
    <w:name w:val="B3"/>
    <w:basedOn w:val="30"/>
    <w:link w:val="B3Char"/>
    <w:qFormat/>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Pr>
      <w:rFonts w:eastAsia="Times New Roman"/>
      <w:snapToGrid w:val="0"/>
      <w:color w:val="000000"/>
      <w:kern w:val="2"/>
      <w:sz w:val="21"/>
      <w:lang w:eastAsia="ja-JP"/>
    </w:rPr>
  </w:style>
  <w:style w:type="character" w:customStyle="1" w:styleId="B3Char2">
    <w:name w:val="B3 Char2"/>
    <w:qFormat/>
    <w:rPr>
      <w:rFonts w:eastAsia="Times New Roman"/>
      <w:lang w:val="en-GB" w:eastAsia="ja-JP"/>
    </w:rPr>
  </w:style>
  <w:style w:type="character" w:customStyle="1" w:styleId="41">
    <w:name w:val="标题 4 字符"/>
    <w:basedOn w:val="a0"/>
    <w:rPr>
      <w:rFonts w:ascii="Arial" w:eastAsia="Times New Roman" w:hAnsi="Arial" w:cs="Arial"/>
      <w:sz w:val="24"/>
      <w:lang w:val="en-US"/>
    </w:rPr>
  </w:style>
  <w:style w:type="character" w:customStyle="1" w:styleId="3Char1">
    <w:name w:val="标题 3 Char1"/>
    <w:basedOn w:val="a0"/>
    <w:link w:val="3"/>
    <w:rPr>
      <w:rFonts w:ascii="Times New Roman" w:eastAsia="Times New Roman" w:hAnsi="Times New Roman" w:cs="Times New Roman" w:hint="default"/>
      <w:b/>
      <w:sz w:val="32"/>
      <w:szCs w:val="32"/>
      <w:lang w:val="en-US"/>
    </w:rPr>
  </w:style>
  <w:style w:type="paragraph" w:customStyle="1" w:styleId="B4">
    <w:name w:val="B4"/>
    <w:basedOn w:val="40"/>
    <w:link w:val="B4Char"/>
    <w:pPr>
      <w:spacing w:after="180"/>
      <w:ind w:left="1418" w:hanging="284"/>
      <w:jc w:val="left"/>
    </w:pPr>
    <w:rPr>
      <w:rFonts w:eastAsia="Times New Roman"/>
      <w:lang w:val="en-US"/>
    </w:rPr>
  </w:style>
  <w:style w:type="character" w:customStyle="1" w:styleId="B4Char">
    <w:name w:val="B4 Char"/>
    <w:basedOn w:val="a0"/>
    <w:link w:val="B4"/>
    <w:rPr>
      <w:rFonts w:ascii="Times New Roman" w:eastAsia="Times New Roman" w:hAnsi="Times New Roman" w:cs="Times New Roman" w:hint="default"/>
      <w:lang w:val="en-US"/>
    </w:rPr>
  </w:style>
  <w:style w:type="paragraph" w:customStyle="1" w:styleId="B5">
    <w:name w:val="B5"/>
    <w:basedOn w:val="50"/>
    <w:link w:val="B5Char"/>
    <w:pPr>
      <w:spacing w:after="180"/>
      <w:ind w:left="1702" w:hanging="284"/>
      <w:jc w:val="left"/>
    </w:pPr>
    <w:rPr>
      <w:rFonts w:eastAsia="Times New Roman"/>
      <w:lang w:val="en-US"/>
    </w:rPr>
  </w:style>
  <w:style w:type="character" w:customStyle="1" w:styleId="B5Char">
    <w:name w:val="B5 Char"/>
    <w:basedOn w:val="a0"/>
    <w:link w:val="B5"/>
    <w:rPr>
      <w:rFonts w:ascii="Times New Roman" w:eastAsia="Times New Roman" w:hAnsi="Times New Roman" w:cs="Times New Roman" w:hint="defau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1620</Words>
  <Characters>9239</Characters>
  <Application>Microsoft Office Word</Application>
  <DocSecurity>0</DocSecurity>
  <Lines>76</Lines>
  <Paragraphs>21</Paragraphs>
  <ScaleCrop>false</ScaleCrop>
  <Company>Huawei Technologies Co., Ltd.</Company>
  <LinksUpToDate>false</LinksUpToDate>
  <CharactersWithSpaces>10838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Huawei/HiSilicon</dc:creator>
  <cp:lastModifiedBy>Huawei</cp:lastModifiedBy>
  <cp:revision>2</cp:revision>
  <dcterms:created xsi:type="dcterms:W3CDTF">2023-04-08T10:39:00Z</dcterms:created>
  <dcterms:modified xsi:type="dcterms:W3CDTF">2023-08-11T07:15:00Z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(3)FLsAQ1on49Mu1XxJ85GI5bGKezpkHLizGtEaFvTTs7Ug6bWR4bKlp8YCJFnDNCjzPP1gn2Ux
Qun/BEZ1RSQDzib5P68HYCRfDtiooPr6djNc+Y4OSH2aF+1UGyxqr+GyB2nD50LBCGzvMZBv
fpqJ13trWaDznVQeK9iRUZfOqIwzqAOf1OUWilCZJgjHR6RzJSgHKvPIa/Lc1W0U33m+SO6N
HYMh2zlJVOXF2rx5AI</vt:lpwstr>
  </property>
  <property fmtid="{D5CDD505-2E9C-101B-9397-08002B2CF9AE}" pid="3" name="_2015_ms_pID_7253431">
    <vt:lpwstr>orf5DZKCdZQo7ELlCNWzItzin66QJ/10Ic+9aWtyy3URWn0X6jCw/c
zEtCUqr1T+aX3rHnvD5TUAY/pT4j4lEuvEO3BL1S1PxOe/M8CjOeSFelxx7Frpk0wWNLRrN8
FWWyAcAz39G/6ZHdHjQzlzWlBIQ5zmFO9tORNgXGwl0BkLUJd7R990mmjaIC5nymeZOFnlGe
P4HUGTlAkXT2tkmkNp49rg6Ksk5R23j6D+cR</vt:lpwstr>
  </property>
  <property fmtid="{D5CDD505-2E9C-101B-9397-08002B2CF9AE}" pid="4" name="_2015_ms_pID_7253432">
    <vt:lpwstr>rpFHuenYa7r6N999kzw+dD8=</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1691650759</vt:lpwstr>
  </property>
</Properties>
</file>